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90FF" w14:textId="77777777" w:rsidR="00F806C6" w:rsidRPr="005D3B68" w:rsidRDefault="00F806C6" w:rsidP="00F806C6">
      <w:pPr>
        <w:tabs>
          <w:tab w:val="left" w:pos="0"/>
        </w:tabs>
        <w:spacing w:line="240" w:lineRule="auto"/>
        <w:rPr>
          <w:rFonts w:ascii="Arial" w:hAnsi="Arial" w:cs="Arial"/>
          <w:sz w:val="22"/>
          <w:szCs w:val="22"/>
        </w:rPr>
      </w:pPr>
      <w:r w:rsidRPr="0096750F">
        <w:rPr>
          <w:rFonts w:ascii="Arial" w:hAnsi="Arial" w:cs="Arial"/>
          <w:b/>
          <w:sz w:val="22"/>
          <w:szCs w:val="22"/>
        </w:rPr>
        <w:t>Purpose:</w:t>
      </w:r>
      <w:r w:rsidRPr="0096750F">
        <w:rPr>
          <w:rFonts w:ascii="Arial" w:hAnsi="Arial" w:cs="Arial"/>
          <w:sz w:val="22"/>
          <w:szCs w:val="22"/>
        </w:rPr>
        <w:t xml:space="preserve">  To propose the use of state or county lands, or lands within conservation districts, shoreline area, historic sites, or in the Waikiki Special District; to propose amendments to county general plans; or to propose a wastewater system, waste-to-energy facility, landfill, oil refinery, or power generating facility according to HRS Chapter 343-5.</w:t>
      </w:r>
      <w:r>
        <w:rPr>
          <w:rFonts w:ascii="Arial" w:hAnsi="Arial" w:cs="Arial"/>
          <w:sz w:val="22"/>
          <w:szCs w:val="22"/>
        </w:rPr>
        <w:t xml:space="preserve">  Activities proposing the importation of regulated plant </w:t>
      </w:r>
      <w:proofErr w:type="spellStart"/>
      <w:r>
        <w:rPr>
          <w:rFonts w:ascii="Arial" w:hAnsi="Arial" w:cs="Arial"/>
          <w:sz w:val="22"/>
          <w:szCs w:val="22"/>
        </w:rPr>
        <w:t>feedstocks</w:t>
      </w:r>
      <w:proofErr w:type="spellEnd"/>
      <w:r>
        <w:rPr>
          <w:rFonts w:ascii="Arial" w:hAnsi="Arial" w:cs="Arial"/>
          <w:sz w:val="22"/>
          <w:szCs w:val="22"/>
        </w:rPr>
        <w:t xml:space="preserve"> for biofuel may be subject to 343 review.</w:t>
      </w:r>
    </w:p>
    <w:p w14:paraId="513147D3" w14:textId="77777777" w:rsidR="00F806C6" w:rsidRPr="0096750F" w:rsidRDefault="00F806C6" w:rsidP="00F806C6">
      <w:pPr>
        <w:tabs>
          <w:tab w:val="left" w:pos="0"/>
        </w:tabs>
        <w:spacing w:before="60" w:after="60" w:line="240" w:lineRule="auto"/>
        <w:rPr>
          <w:rFonts w:ascii="Arial" w:hAnsi="Arial" w:cs="Arial"/>
          <w:sz w:val="22"/>
          <w:szCs w:val="22"/>
        </w:rPr>
      </w:pPr>
      <w:r w:rsidRPr="0096750F">
        <w:rPr>
          <w:rFonts w:ascii="Arial" w:hAnsi="Arial" w:cs="Arial"/>
          <w:b/>
          <w:sz w:val="22"/>
          <w:szCs w:val="22"/>
        </w:rPr>
        <w:t>Approval Authority:</w:t>
      </w:r>
      <w:r w:rsidRPr="0096750F">
        <w:rPr>
          <w:rFonts w:ascii="Arial" w:hAnsi="Arial" w:cs="Arial"/>
          <w:sz w:val="22"/>
          <w:szCs w:val="22"/>
        </w:rPr>
        <w:t xml:space="preserve">  Hawaii Revised Statutes (HRS) 343; Hawaii Administrative Rules (HAR) 11-200 and 11-201 (Environmental Council)</w:t>
      </w:r>
    </w:p>
    <w:p w14:paraId="6A9D448A" w14:textId="77777777" w:rsidR="00F806C6" w:rsidRPr="0096750F" w:rsidRDefault="00F806C6" w:rsidP="00F806C6">
      <w:pPr>
        <w:tabs>
          <w:tab w:val="left" w:pos="0"/>
        </w:tabs>
        <w:spacing w:before="60" w:after="60" w:line="240" w:lineRule="auto"/>
        <w:rPr>
          <w:rFonts w:ascii="Arial" w:hAnsi="Arial" w:cs="Arial"/>
          <w:sz w:val="22"/>
          <w:szCs w:val="22"/>
        </w:rPr>
      </w:pPr>
      <w:r w:rsidRPr="0096750F">
        <w:rPr>
          <w:rFonts w:ascii="Arial" w:hAnsi="Arial" w:cs="Arial"/>
          <w:b/>
          <w:sz w:val="22"/>
          <w:szCs w:val="22"/>
        </w:rPr>
        <w:t>Potential Approval Prerequisites:</w:t>
      </w:r>
      <w:r w:rsidRPr="0096750F">
        <w:rPr>
          <w:rFonts w:ascii="Arial" w:hAnsi="Arial" w:cs="Arial"/>
          <w:sz w:val="22"/>
          <w:szCs w:val="22"/>
        </w:rPr>
        <w:t xml:space="preserve">  Outreach with key regulatory agencies, stakeholders, and surrounding communities is strongly recommended early in the EA scoping phase. For private applicant actions, an A</w:t>
      </w:r>
      <w:r>
        <w:rPr>
          <w:rFonts w:ascii="Arial" w:hAnsi="Arial" w:cs="Arial"/>
          <w:sz w:val="22"/>
          <w:szCs w:val="22"/>
        </w:rPr>
        <w:t>pproving</w:t>
      </w:r>
      <w:r w:rsidRPr="0096750F">
        <w:rPr>
          <w:rFonts w:ascii="Arial" w:hAnsi="Arial" w:cs="Arial"/>
          <w:sz w:val="22"/>
          <w:szCs w:val="22"/>
        </w:rPr>
        <w:t xml:space="preserve"> Agency must be established to determine the acceptability of the final EA.</w:t>
      </w:r>
    </w:p>
    <w:p w14:paraId="2E5B48A3" w14:textId="77777777" w:rsidR="00F806C6" w:rsidRPr="0096750F" w:rsidRDefault="00F806C6" w:rsidP="00F806C6">
      <w:pPr>
        <w:tabs>
          <w:tab w:val="left" w:pos="0"/>
        </w:tabs>
        <w:spacing w:before="60" w:after="60" w:line="240" w:lineRule="auto"/>
        <w:rPr>
          <w:rFonts w:ascii="Arial" w:hAnsi="Arial" w:cs="Arial"/>
          <w:sz w:val="22"/>
          <w:szCs w:val="22"/>
        </w:rPr>
      </w:pPr>
      <w:r w:rsidRPr="0096750F">
        <w:rPr>
          <w:rFonts w:ascii="Arial" w:hAnsi="Arial" w:cs="Arial"/>
          <w:b/>
          <w:sz w:val="22"/>
          <w:szCs w:val="22"/>
        </w:rPr>
        <w:t xml:space="preserve">Fees:  </w:t>
      </w:r>
      <w:r w:rsidRPr="0096750F">
        <w:rPr>
          <w:rFonts w:ascii="Arial" w:hAnsi="Arial" w:cs="Arial"/>
          <w:sz w:val="22"/>
          <w:szCs w:val="22"/>
        </w:rPr>
        <w:t>None</w:t>
      </w:r>
    </w:p>
    <w:p w14:paraId="7EFE5B45" w14:textId="77777777" w:rsidR="00F806C6" w:rsidRPr="0096750F" w:rsidRDefault="00F806C6" w:rsidP="00F806C6">
      <w:pPr>
        <w:tabs>
          <w:tab w:val="left" w:pos="0"/>
        </w:tabs>
        <w:spacing w:before="60" w:after="60" w:line="240" w:lineRule="auto"/>
        <w:rPr>
          <w:rStyle w:val="Hyperlink"/>
          <w:rFonts w:ascii="Arial" w:hAnsi="Arial" w:cs="Arial"/>
          <w:sz w:val="22"/>
          <w:szCs w:val="22"/>
        </w:rPr>
      </w:pPr>
      <w:r w:rsidRPr="0096750F">
        <w:rPr>
          <w:rFonts w:ascii="Arial" w:hAnsi="Arial" w:cs="Arial"/>
          <w:b/>
          <w:sz w:val="22"/>
          <w:szCs w:val="22"/>
        </w:rPr>
        <w:t>For Permit Application, Guidelines, and Fees:</w:t>
      </w:r>
      <w:r w:rsidRPr="0096750F">
        <w:rPr>
          <w:rFonts w:ascii="Arial" w:hAnsi="Arial" w:cs="Arial"/>
          <w:sz w:val="22"/>
          <w:szCs w:val="22"/>
        </w:rPr>
        <w:t xml:space="preserve"> </w:t>
      </w:r>
    </w:p>
    <w:p w14:paraId="7F005FE5" w14:textId="77777777" w:rsidR="00F806C6" w:rsidRPr="0096750F" w:rsidRDefault="00F806C6" w:rsidP="00F806C6">
      <w:pPr>
        <w:pStyle w:val="ListParagraph"/>
        <w:numPr>
          <w:ilvl w:val="0"/>
          <w:numId w:val="10"/>
        </w:numPr>
        <w:spacing w:line="240" w:lineRule="auto"/>
        <w:rPr>
          <w:rStyle w:val="Hyperlink"/>
          <w:rFonts w:ascii="Arial" w:hAnsi="Arial" w:cs="Arial"/>
          <w:b/>
          <w:color w:val="auto"/>
          <w:sz w:val="22"/>
          <w:szCs w:val="22"/>
          <w:u w:val="none"/>
        </w:rPr>
      </w:pPr>
      <w:r w:rsidRPr="0096750F">
        <w:rPr>
          <w:rStyle w:val="Hyperlink"/>
          <w:rFonts w:ascii="Arial" w:hAnsi="Arial" w:cs="Arial"/>
          <w:color w:val="auto"/>
          <w:sz w:val="22"/>
          <w:szCs w:val="22"/>
          <w:u w:val="none"/>
        </w:rPr>
        <w:t>OEQC website:</w:t>
      </w:r>
      <w:r w:rsidRPr="0096750F">
        <w:rPr>
          <w:rFonts w:ascii="Arial" w:hAnsi="Arial" w:cs="Arial"/>
          <w:b/>
          <w:sz w:val="22"/>
          <w:szCs w:val="22"/>
        </w:rPr>
        <w:t xml:space="preserve"> </w:t>
      </w:r>
      <w:hyperlink r:id="rId8" w:history="1">
        <w:r w:rsidRPr="0096750F">
          <w:rPr>
            <w:rStyle w:val="Hyperlink"/>
            <w:rFonts w:ascii="Arial" w:hAnsi="Arial" w:cs="Arial"/>
            <w:sz w:val="22"/>
            <w:szCs w:val="22"/>
          </w:rPr>
          <w:t>http://health.hawaii.gov/oeqc/</w:t>
        </w:r>
      </w:hyperlink>
    </w:p>
    <w:p w14:paraId="4C6BE1E1" w14:textId="77777777" w:rsidR="00F806C6" w:rsidRPr="0096750F" w:rsidRDefault="00F806C6" w:rsidP="00F806C6">
      <w:pPr>
        <w:pStyle w:val="ListParagraph"/>
        <w:numPr>
          <w:ilvl w:val="0"/>
          <w:numId w:val="10"/>
        </w:numPr>
        <w:spacing w:line="240" w:lineRule="auto"/>
        <w:rPr>
          <w:rFonts w:ascii="Arial" w:hAnsi="Arial" w:cs="Arial"/>
          <w:b/>
          <w:sz w:val="22"/>
          <w:szCs w:val="22"/>
        </w:rPr>
      </w:pPr>
      <w:r w:rsidRPr="0096750F">
        <w:rPr>
          <w:rFonts w:ascii="Arial" w:hAnsi="Arial" w:cs="Arial"/>
          <w:sz w:val="22"/>
          <w:szCs w:val="22"/>
        </w:rPr>
        <w:t xml:space="preserve">OEQC Online EA/EIS Library: </w:t>
      </w:r>
      <w:hyperlink r:id="rId9" w:history="1">
        <w:r w:rsidRPr="0096750F">
          <w:rPr>
            <w:rStyle w:val="Hyperlink"/>
            <w:rFonts w:ascii="Arial" w:hAnsi="Arial" w:cs="Arial"/>
            <w:sz w:val="22"/>
            <w:szCs w:val="22"/>
          </w:rPr>
          <w:t>http://oeqc.doh.hawaii.gov/Shared%20Documents/Forms/AllItems.aspx?RootFolder=%2fShared%20Documents%2fEA_and_EIS_Online_Library</w:t>
        </w:r>
      </w:hyperlink>
    </w:p>
    <w:p w14:paraId="61C56128" w14:textId="77777777" w:rsidR="00F806C6" w:rsidRPr="0096750F" w:rsidRDefault="00F806C6" w:rsidP="00F806C6">
      <w:pPr>
        <w:tabs>
          <w:tab w:val="left" w:pos="0"/>
        </w:tabs>
        <w:spacing w:before="60" w:after="60" w:line="240" w:lineRule="auto"/>
        <w:rPr>
          <w:rFonts w:ascii="Arial" w:hAnsi="Arial" w:cs="Arial"/>
          <w:sz w:val="22"/>
          <w:szCs w:val="22"/>
        </w:rPr>
      </w:pPr>
    </w:p>
    <w:p w14:paraId="6C2D355D" w14:textId="77777777" w:rsidR="00F806C6" w:rsidRPr="0096750F" w:rsidRDefault="00F806C6" w:rsidP="00F806C6">
      <w:pPr>
        <w:spacing w:after="100" w:line="240" w:lineRule="auto"/>
        <w:rPr>
          <w:rFonts w:ascii="Arial" w:hAnsi="Arial" w:cs="Arial"/>
          <w:sz w:val="22"/>
          <w:szCs w:val="22"/>
        </w:rPr>
      </w:pPr>
      <w:r w:rsidRPr="0096750F">
        <w:rPr>
          <w:rFonts w:ascii="Arial" w:hAnsi="Arial" w:cs="Arial"/>
          <w:b/>
          <w:sz w:val="22"/>
          <w:szCs w:val="22"/>
        </w:rPr>
        <w:t>Contact Information:</w:t>
      </w:r>
      <w:r w:rsidRPr="0096750F">
        <w:rPr>
          <w:rFonts w:ascii="Arial" w:hAnsi="Arial" w:cs="Arial"/>
          <w:sz w:val="22"/>
          <w:szCs w:val="22"/>
        </w:rPr>
        <w:t xml:space="preserve"> OEQC (808) 586-4185</w:t>
      </w:r>
    </w:p>
    <w:p w14:paraId="1D6517F7" w14:textId="77777777" w:rsidR="00F806C6" w:rsidRPr="0096750F" w:rsidRDefault="00F806C6" w:rsidP="00F806C6">
      <w:pPr>
        <w:spacing w:before="60" w:after="60" w:line="240" w:lineRule="auto"/>
        <w:rPr>
          <w:rFonts w:ascii="Arial" w:hAnsi="Arial" w:cs="Arial"/>
          <w:sz w:val="22"/>
          <w:szCs w:val="22"/>
        </w:rPr>
      </w:pPr>
      <w:r w:rsidRPr="0096750F">
        <w:rPr>
          <w:rFonts w:ascii="Arial" w:hAnsi="Arial" w:cs="Arial"/>
          <w:b/>
          <w:sz w:val="22"/>
          <w:szCs w:val="22"/>
        </w:rPr>
        <w:t xml:space="preserve">Estimated Time for Permit Approval Decision from Application Acceptance:  </w:t>
      </w:r>
      <w:r w:rsidRPr="0096750F">
        <w:rPr>
          <w:rFonts w:ascii="Arial" w:hAnsi="Arial" w:cs="Arial"/>
          <w:sz w:val="22"/>
          <w:szCs w:val="22"/>
        </w:rPr>
        <w:t xml:space="preserve">See Checklist / Process  </w:t>
      </w:r>
    </w:p>
    <w:p w14:paraId="20232A72" w14:textId="77777777" w:rsidR="00CF753E" w:rsidRPr="00B70809" w:rsidRDefault="00CF753E" w:rsidP="00CF753E">
      <w:pPr>
        <w:spacing w:line="240" w:lineRule="auto"/>
        <w:rPr>
          <w:rFonts w:ascii="Arial" w:hAnsi="Arial" w:cs="Arial"/>
          <w:b/>
          <w:sz w:val="20"/>
          <w:szCs w:val="20"/>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gridCol w:w="1563"/>
      </w:tblGrid>
      <w:tr w:rsidR="00CF753E" w:rsidRPr="009254B8" w14:paraId="5BA89C57" w14:textId="77777777" w:rsidTr="0081342B">
        <w:trPr>
          <w:trHeight w:val="530"/>
        </w:trPr>
        <w:tc>
          <w:tcPr>
            <w:tcW w:w="0" w:type="auto"/>
            <w:shd w:val="clear" w:color="auto" w:fill="auto"/>
            <w:vAlign w:val="center"/>
          </w:tcPr>
          <w:p w14:paraId="0020275E" w14:textId="0D7C6900" w:rsidR="00CF753E" w:rsidRPr="00296430" w:rsidRDefault="00CF753E" w:rsidP="00F806C6">
            <w:pPr>
              <w:pStyle w:val="ListParagraph"/>
              <w:spacing w:line="240" w:lineRule="auto"/>
              <w:ind w:left="540"/>
              <w:rPr>
                <w:rFonts w:ascii="Arial" w:hAnsi="Arial" w:cs="Arial"/>
              </w:rPr>
            </w:pPr>
            <w:r w:rsidRPr="00934366">
              <w:rPr>
                <w:rFonts w:ascii="Arial" w:hAnsi="Arial" w:cs="Arial"/>
                <w:b/>
                <w:sz w:val="20"/>
                <w:szCs w:val="20"/>
              </w:rPr>
              <w:t xml:space="preserve">            </w:t>
            </w:r>
            <w:r>
              <w:rPr>
                <w:rFonts w:ascii="Arial" w:hAnsi="Arial" w:cs="Arial"/>
                <w:b/>
                <w:sz w:val="20"/>
                <w:szCs w:val="20"/>
              </w:rPr>
              <w:t xml:space="preserve">               </w:t>
            </w:r>
            <w:r w:rsidRPr="00296430">
              <w:rPr>
                <w:rFonts w:ascii="Arial" w:hAnsi="Arial" w:cs="Arial"/>
                <w:b/>
              </w:rPr>
              <w:t xml:space="preserve">Checklist / Process </w:t>
            </w:r>
            <w:r>
              <w:rPr>
                <w:rFonts w:ascii="Arial" w:hAnsi="Arial" w:cs="Arial"/>
                <w:b/>
              </w:rPr>
              <w:t>– Applicant Actions Only</w:t>
            </w:r>
            <w:r w:rsidRPr="006F1F3C">
              <w:rPr>
                <w:rFonts w:ascii="Arial" w:hAnsi="Arial" w:cs="Arial"/>
                <w:b/>
                <w:sz w:val="20"/>
                <w:szCs w:val="20"/>
              </w:rPr>
              <w:t xml:space="preserve"> </w:t>
            </w:r>
          </w:p>
        </w:tc>
        <w:tc>
          <w:tcPr>
            <w:tcW w:w="0" w:type="auto"/>
            <w:shd w:val="clear" w:color="auto" w:fill="auto"/>
            <w:vAlign w:val="center"/>
          </w:tcPr>
          <w:p w14:paraId="6C92ED5B" w14:textId="77777777" w:rsidR="00CF753E" w:rsidRPr="00296430" w:rsidRDefault="00CF753E" w:rsidP="0081342B">
            <w:pPr>
              <w:ind w:left="540" w:hanging="540"/>
              <w:jc w:val="center"/>
              <w:rPr>
                <w:rFonts w:ascii="Arial" w:hAnsi="Arial" w:cs="Arial"/>
              </w:rPr>
            </w:pPr>
            <w:r w:rsidRPr="00296430">
              <w:rPr>
                <w:rFonts w:ascii="Arial" w:hAnsi="Arial" w:cs="Arial"/>
                <w:b/>
              </w:rPr>
              <w:t>Chronology</w:t>
            </w:r>
          </w:p>
        </w:tc>
      </w:tr>
      <w:tr w:rsidR="00CF753E" w:rsidRPr="009254B8" w14:paraId="68DE9F6D" w14:textId="77777777" w:rsidTr="0081342B">
        <w:trPr>
          <w:trHeight w:val="530"/>
        </w:trPr>
        <w:tc>
          <w:tcPr>
            <w:tcW w:w="0" w:type="auto"/>
            <w:shd w:val="clear" w:color="auto" w:fill="auto"/>
            <w:vAlign w:val="center"/>
          </w:tcPr>
          <w:p w14:paraId="6E82AD90" w14:textId="77777777" w:rsidR="00CF753E" w:rsidRPr="006F1F3C" w:rsidRDefault="00CF753E" w:rsidP="0081342B">
            <w:pPr>
              <w:pStyle w:val="ListParagraph"/>
              <w:numPr>
                <w:ilvl w:val="0"/>
                <w:numId w:val="5"/>
              </w:numPr>
              <w:spacing w:line="240" w:lineRule="auto"/>
              <w:ind w:left="540" w:hanging="540"/>
              <w:rPr>
                <w:rFonts w:ascii="Arial" w:hAnsi="Arial" w:cs="Arial"/>
                <w:sz w:val="20"/>
                <w:szCs w:val="20"/>
              </w:rPr>
            </w:pPr>
            <w:r w:rsidRPr="006F1F3C">
              <w:rPr>
                <w:rFonts w:ascii="Arial" w:hAnsi="Arial" w:cs="Arial"/>
                <w:sz w:val="22"/>
                <w:szCs w:val="22"/>
              </w:rPr>
              <w:t xml:space="preserve">Begin EIS Preparation Notice (EISPN) process, initiated by a determination letter from </w:t>
            </w:r>
            <w:r w:rsidRPr="00F806C6">
              <w:rPr>
                <w:rFonts w:ascii="Arial" w:hAnsi="Arial" w:cs="Arial"/>
                <w:sz w:val="22"/>
                <w:szCs w:val="22"/>
              </w:rPr>
              <w:t>the approving agency stating the project has potential for significant environmental impacts.  See “Special Conditions” for guidance on EISPN contents (or initiated after an agency determines that the proposed action is significant after the DEA public comment period).</w:t>
            </w:r>
          </w:p>
        </w:tc>
        <w:tc>
          <w:tcPr>
            <w:tcW w:w="0" w:type="auto"/>
            <w:shd w:val="clear" w:color="auto" w:fill="auto"/>
            <w:vAlign w:val="center"/>
          </w:tcPr>
          <w:p w14:paraId="26496619" w14:textId="77777777" w:rsidR="00CF753E" w:rsidRPr="00934366" w:rsidRDefault="00CF753E" w:rsidP="0081342B">
            <w:pPr>
              <w:ind w:left="540" w:hanging="540"/>
              <w:jc w:val="center"/>
              <w:rPr>
                <w:rFonts w:ascii="Arial" w:hAnsi="Arial" w:cs="Arial"/>
                <w:sz w:val="20"/>
                <w:szCs w:val="20"/>
              </w:rPr>
            </w:pPr>
          </w:p>
        </w:tc>
      </w:tr>
      <w:tr w:rsidR="00CF753E" w:rsidRPr="009254B8" w14:paraId="2FA389EF" w14:textId="77777777" w:rsidTr="0081342B">
        <w:trPr>
          <w:trHeight w:val="440"/>
        </w:trPr>
        <w:tc>
          <w:tcPr>
            <w:tcW w:w="0" w:type="auto"/>
            <w:shd w:val="clear" w:color="auto" w:fill="auto"/>
            <w:vAlign w:val="center"/>
          </w:tcPr>
          <w:p w14:paraId="3F970A57" w14:textId="77777777" w:rsidR="00CF753E" w:rsidRPr="006F1F3C" w:rsidRDefault="00CF753E" w:rsidP="0081342B">
            <w:pPr>
              <w:pStyle w:val="ListParagraph"/>
              <w:numPr>
                <w:ilvl w:val="0"/>
                <w:numId w:val="5"/>
              </w:numPr>
              <w:spacing w:line="240" w:lineRule="auto"/>
              <w:ind w:left="540" w:hanging="540"/>
              <w:rPr>
                <w:rFonts w:ascii="Arial" w:hAnsi="Arial" w:cs="Arial"/>
                <w:sz w:val="20"/>
                <w:szCs w:val="20"/>
              </w:rPr>
            </w:pPr>
            <w:r w:rsidRPr="006F1F3C">
              <w:rPr>
                <w:rFonts w:ascii="Arial" w:hAnsi="Arial" w:cs="Arial"/>
                <w:sz w:val="22"/>
                <w:szCs w:val="22"/>
              </w:rPr>
              <w:t>Agency/Applicant consults community and experts.</w:t>
            </w:r>
          </w:p>
        </w:tc>
        <w:tc>
          <w:tcPr>
            <w:tcW w:w="0" w:type="auto"/>
            <w:shd w:val="clear" w:color="auto" w:fill="auto"/>
            <w:vAlign w:val="center"/>
          </w:tcPr>
          <w:p w14:paraId="20747B1B" w14:textId="77777777" w:rsidR="00CF753E" w:rsidRPr="00934366" w:rsidRDefault="00CF753E" w:rsidP="0081342B">
            <w:pPr>
              <w:ind w:left="540" w:hanging="540"/>
              <w:jc w:val="center"/>
              <w:rPr>
                <w:rFonts w:ascii="Arial" w:hAnsi="Arial" w:cs="Arial"/>
                <w:sz w:val="20"/>
                <w:szCs w:val="20"/>
              </w:rPr>
            </w:pPr>
          </w:p>
        </w:tc>
      </w:tr>
      <w:tr w:rsidR="00CF753E" w:rsidRPr="009254B8" w14:paraId="05B205DA" w14:textId="77777777" w:rsidTr="0081342B">
        <w:trPr>
          <w:trHeight w:val="431"/>
        </w:trPr>
        <w:tc>
          <w:tcPr>
            <w:tcW w:w="0" w:type="auto"/>
            <w:shd w:val="clear" w:color="auto" w:fill="auto"/>
            <w:vAlign w:val="center"/>
          </w:tcPr>
          <w:p w14:paraId="2FEF6879" w14:textId="77777777" w:rsidR="00CF753E" w:rsidRPr="006F1F3C" w:rsidRDefault="00CF753E" w:rsidP="0081342B">
            <w:pPr>
              <w:pStyle w:val="ListParagraph"/>
              <w:numPr>
                <w:ilvl w:val="0"/>
                <w:numId w:val="5"/>
              </w:numPr>
              <w:spacing w:line="240" w:lineRule="auto"/>
              <w:ind w:left="540" w:hanging="540"/>
              <w:rPr>
                <w:rFonts w:ascii="Arial" w:hAnsi="Arial" w:cs="Arial"/>
                <w:sz w:val="20"/>
                <w:szCs w:val="20"/>
              </w:rPr>
            </w:pPr>
            <w:r w:rsidRPr="006F1F3C">
              <w:rPr>
                <w:rFonts w:ascii="Arial" w:hAnsi="Arial" w:cs="Arial"/>
                <w:sz w:val="22"/>
                <w:szCs w:val="22"/>
              </w:rPr>
              <w:t>Draft EIS Preparation Notice should be reviewed by approving agency.</w:t>
            </w:r>
          </w:p>
        </w:tc>
        <w:tc>
          <w:tcPr>
            <w:tcW w:w="0" w:type="auto"/>
            <w:shd w:val="clear" w:color="auto" w:fill="auto"/>
            <w:vAlign w:val="center"/>
          </w:tcPr>
          <w:p w14:paraId="0E87AAD9" w14:textId="77777777" w:rsidR="00CF753E" w:rsidRPr="00934366" w:rsidRDefault="00CF753E" w:rsidP="0081342B">
            <w:pPr>
              <w:ind w:left="540" w:hanging="540"/>
              <w:jc w:val="center"/>
              <w:rPr>
                <w:rFonts w:ascii="Arial" w:hAnsi="Arial" w:cs="Arial"/>
                <w:sz w:val="20"/>
                <w:szCs w:val="20"/>
              </w:rPr>
            </w:pPr>
          </w:p>
        </w:tc>
      </w:tr>
      <w:tr w:rsidR="00CF753E" w:rsidRPr="009254B8" w14:paraId="7D3A165E" w14:textId="77777777" w:rsidTr="0081342B">
        <w:trPr>
          <w:trHeight w:val="629"/>
        </w:trPr>
        <w:tc>
          <w:tcPr>
            <w:tcW w:w="0" w:type="auto"/>
            <w:shd w:val="clear" w:color="auto" w:fill="auto"/>
            <w:vAlign w:val="center"/>
          </w:tcPr>
          <w:p w14:paraId="19972675"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EIS Preparation Notice and agency determination letter submitted to OEQC with the OEQC Publication Form.  OEQC publishes notice of EIS Preparation Notice</w:t>
            </w:r>
          </w:p>
        </w:tc>
        <w:tc>
          <w:tcPr>
            <w:tcW w:w="0" w:type="auto"/>
            <w:shd w:val="clear" w:color="auto" w:fill="auto"/>
            <w:vAlign w:val="center"/>
          </w:tcPr>
          <w:p w14:paraId="56AB1B10" w14:textId="77777777" w:rsidR="00CF753E" w:rsidRPr="00934366" w:rsidRDefault="00CF753E" w:rsidP="0081342B">
            <w:pPr>
              <w:ind w:left="540" w:hanging="540"/>
              <w:jc w:val="center"/>
              <w:rPr>
                <w:rFonts w:ascii="Arial" w:hAnsi="Arial" w:cs="Arial"/>
                <w:sz w:val="20"/>
                <w:szCs w:val="20"/>
              </w:rPr>
            </w:pPr>
          </w:p>
        </w:tc>
      </w:tr>
      <w:tr w:rsidR="00CF753E" w:rsidRPr="009254B8" w14:paraId="5F1E219E" w14:textId="77777777" w:rsidTr="0081342B">
        <w:trPr>
          <w:trHeight w:val="431"/>
        </w:trPr>
        <w:tc>
          <w:tcPr>
            <w:tcW w:w="0" w:type="auto"/>
            <w:shd w:val="clear" w:color="auto" w:fill="auto"/>
            <w:vAlign w:val="center"/>
          </w:tcPr>
          <w:p w14:paraId="38790105"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Public review and comment period.</w:t>
            </w:r>
          </w:p>
        </w:tc>
        <w:tc>
          <w:tcPr>
            <w:tcW w:w="0" w:type="auto"/>
            <w:shd w:val="clear" w:color="auto" w:fill="auto"/>
            <w:vAlign w:val="center"/>
          </w:tcPr>
          <w:p w14:paraId="1528F3D0" w14:textId="77777777" w:rsidR="00CF753E" w:rsidRPr="00934366" w:rsidRDefault="00CF753E" w:rsidP="0081342B">
            <w:pPr>
              <w:ind w:left="540" w:hanging="540"/>
              <w:jc w:val="center"/>
              <w:rPr>
                <w:rFonts w:ascii="Arial" w:hAnsi="Arial" w:cs="Arial"/>
                <w:sz w:val="20"/>
                <w:szCs w:val="20"/>
              </w:rPr>
            </w:pPr>
            <w:r w:rsidRPr="00271189">
              <w:rPr>
                <w:rFonts w:ascii="Arial" w:hAnsi="Arial" w:cs="Arial"/>
                <w:sz w:val="22"/>
                <w:szCs w:val="22"/>
              </w:rPr>
              <w:t>30 days</w:t>
            </w:r>
          </w:p>
        </w:tc>
      </w:tr>
      <w:tr w:rsidR="00CF753E" w:rsidRPr="009254B8" w14:paraId="4F234DD5" w14:textId="77777777" w:rsidTr="0081342B">
        <w:trPr>
          <w:trHeight w:val="449"/>
        </w:trPr>
        <w:tc>
          <w:tcPr>
            <w:tcW w:w="0" w:type="auto"/>
            <w:shd w:val="clear" w:color="auto" w:fill="auto"/>
            <w:vAlign w:val="center"/>
          </w:tcPr>
          <w:p w14:paraId="21FC86F0"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Agency/Applicant review comments.</w:t>
            </w:r>
          </w:p>
        </w:tc>
        <w:tc>
          <w:tcPr>
            <w:tcW w:w="0" w:type="auto"/>
            <w:shd w:val="clear" w:color="auto" w:fill="auto"/>
            <w:vAlign w:val="center"/>
          </w:tcPr>
          <w:p w14:paraId="6FD1652C" w14:textId="77777777" w:rsidR="00CF753E" w:rsidRPr="00934366" w:rsidRDefault="00CF753E" w:rsidP="0081342B">
            <w:pPr>
              <w:ind w:left="540" w:hanging="540"/>
              <w:jc w:val="center"/>
              <w:rPr>
                <w:rFonts w:ascii="Arial" w:hAnsi="Arial" w:cs="Arial"/>
                <w:sz w:val="20"/>
                <w:szCs w:val="20"/>
              </w:rPr>
            </w:pPr>
          </w:p>
        </w:tc>
      </w:tr>
      <w:tr w:rsidR="00CF753E" w:rsidRPr="009254B8" w14:paraId="405D0000" w14:textId="77777777" w:rsidTr="0081342B">
        <w:trPr>
          <w:trHeight w:val="521"/>
        </w:trPr>
        <w:tc>
          <w:tcPr>
            <w:tcW w:w="0" w:type="auto"/>
            <w:shd w:val="clear" w:color="auto" w:fill="auto"/>
            <w:vAlign w:val="center"/>
          </w:tcPr>
          <w:p w14:paraId="186DC02B"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Begin Draft EIS process.  The Draft EIS shall contain all information listed in HAR 11-200-17.</w:t>
            </w:r>
          </w:p>
        </w:tc>
        <w:tc>
          <w:tcPr>
            <w:tcW w:w="0" w:type="auto"/>
            <w:shd w:val="clear" w:color="auto" w:fill="auto"/>
            <w:vAlign w:val="center"/>
          </w:tcPr>
          <w:p w14:paraId="4571F8A7" w14:textId="77777777" w:rsidR="00CF753E" w:rsidRPr="00934366" w:rsidRDefault="00CF753E" w:rsidP="0081342B">
            <w:pPr>
              <w:ind w:left="540" w:hanging="540"/>
              <w:jc w:val="center"/>
              <w:rPr>
                <w:rFonts w:ascii="Arial" w:hAnsi="Arial" w:cs="Arial"/>
                <w:sz w:val="20"/>
                <w:szCs w:val="20"/>
              </w:rPr>
            </w:pPr>
          </w:p>
        </w:tc>
      </w:tr>
      <w:tr w:rsidR="00CF753E" w:rsidRPr="009254B8" w14:paraId="6F18FA6A" w14:textId="77777777" w:rsidTr="0081342B">
        <w:trPr>
          <w:trHeight w:val="539"/>
        </w:trPr>
        <w:tc>
          <w:tcPr>
            <w:tcW w:w="0" w:type="auto"/>
            <w:shd w:val="clear" w:color="auto" w:fill="auto"/>
            <w:vAlign w:val="center"/>
          </w:tcPr>
          <w:p w14:paraId="4AD5D7F7"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Applicant performs required studies and answers any comments.</w:t>
            </w:r>
          </w:p>
        </w:tc>
        <w:tc>
          <w:tcPr>
            <w:tcW w:w="0" w:type="auto"/>
            <w:shd w:val="clear" w:color="auto" w:fill="auto"/>
            <w:vAlign w:val="center"/>
          </w:tcPr>
          <w:p w14:paraId="08CB0204" w14:textId="77777777" w:rsidR="00CF753E" w:rsidRPr="00934366" w:rsidRDefault="00CF753E" w:rsidP="0081342B">
            <w:pPr>
              <w:ind w:left="540" w:hanging="540"/>
              <w:jc w:val="center"/>
              <w:rPr>
                <w:rFonts w:ascii="Arial" w:hAnsi="Arial" w:cs="Arial"/>
                <w:sz w:val="20"/>
                <w:szCs w:val="20"/>
              </w:rPr>
            </w:pPr>
          </w:p>
        </w:tc>
      </w:tr>
      <w:tr w:rsidR="00CF753E" w:rsidRPr="009254B8" w14:paraId="4678DC42" w14:textId="77777777" w:rsidTr="0081342B">
        <w:trPr>
          <w:trHeight w:val="521"/>
        </w:trPr>
        <w:tc>
          <w:tcPr>
            <w:tcW w:w="0" w:type="auto"/>
            <w:shd w:val="clear" w:color="auto" w:fill="auto"/>
            <w:vAlign w:val="center"/>
          </w:tcPr>
          <w:p w14:paraId="2C4B9FBB"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Draft EIS should be provided to the Approving Agency for review</w:t>
            </w:r>
            <w:r>
              <w:rPr>
                <w:rFonts w:ascii="Arial" w:hAnsi="Arial" w:cs="Arial"/>
                <w:sz w:val="22"/>
                <w:szCs w:val="22"/>
              </w:rPr>
              <w:t xml:space="preserve"> prior to submittal to OEQC</w:t>
            </w:r>
            <w:r w:rsidRPr="006F1F3C">
              <w:rPr>
                <w:rFonts w:ascii="Arial" w:hAnsi="Arial" w:cs="Arial"/>
                <w:sz w:val="22"/>
                <w:szCs w:val="22"/>
              </w:rPr>
              <w:t>.</w:t>
            </w:r>
          </w:p>
        </w:tc>
        <w:tc>
          <w:tcPr>
            <w:tcW w:w="0" w:type="auto"/>
            <w:shd w:val="clear" w:color="auto" w:fill="auto"/>
            <w:vAlign w:val="center"/>
          </w:tcPr>
          <w:p w14:paraId="6C3BA013" w14:textId="77777777" w:rsidR="00CF753E" w:rsidRPr="00934366" w:rsidRDefault="00CF753E" w:rsidP="0081342B">
            <w:pPr>
              <w:ind w:left="540" w:hanging="540"/>
              <w:jc w:val="center"/>
              <w:rPr>
                <w:rFonts w:ascii="Arial" w:hAnsi="Arial" w:cs="Arial"/>
                <w:sz w:val="20"/>
                <w:szCs w:val="20"/>
              </w:rPr>
            </w:pPr>
          </w:p>
        </w:tc>
      </w:tr>
      <w:tr w:rsidR="00CF753E" w:rsidRPr="009254B8" w14:paraId="353066D8" w14:textId="77777777" w:rsidTr="0081342B">
        <w:trPr>
          <w:trHeight w:val="719"/>
        </w:trPr>
        <w:tc>
          <w:tcPr>
            <w:tcW w:w="0" w:type="auto"/>
            <w:shd w:val="clear" w:color="auto" w:fill="auto"/>
            <w:vAlign w:val="center"/>
          </w:tcPr>
          <w:p w14:paraId="25A6A46C"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Draft EIS</w:t>
            </w:r>
            <w:r>
              <w:rPr>
                <w:rFonts w:ascii="Arial" w:hAnsi="Arial" w:cs="Arial"/>
                <w:sz w:val="22"/>
                <w:szCs w:val="22"/>
              </w:rPr>
              <w:t xml:space="preserve">, </w:t>
            </w:r>
            <w:r w:rsidRPr="006F1F3C">
              <w:rPr>
                <w:rFonts w:ascii="Arial" w:hAnsi="Arial" w:cs="Arial"/>
                <w:sz w:val="22"/>
                <w:szCs w:val="22"/>
              </w:rPr>
              <w:t>interested party EIS Distribution List</w:t>
            </w:r>
            <w:r>
              <w:rPr>
                <w:rFonts w:ascii="Arial" w:hAnsi="Arial" w:cs="Arial"/>
                <w:sz w:val="22"/>
                <w:szCs w:val="22"/>
              </w:rPr>
              <w:t xml:space="preserve">, and </w:t>
            </w:r>
            <w:r w:rsidRPr="006F1F3C">
              <w:rPr>
                <w:rFonts w:ascii="Arial" w:hAnsi="Arial" w:cs="Arial"/>
                <w:sz w:val="22"/>
                <w:szCs w:val="22"/>
              </w:rPr>
              <w:t>OEQC Publication Form</w:t>
            </w:r>
            <w:r>
              <w:rPr>
                <w:rFonts w:ascii="Arial" w:hAnsi="Arial" w:cs="Arial"/>
                <w:sz w:val="22"/>
                <w:szCs w:val="22"/>
              </w:rPr>
              <w:t xml:space="preserve"> are concurrently </w:t>
            </w:r>
            <w:r w:rsidRPr="006F1F3C">
              <w:rPr>
                <w:rFonts w:ascii="Arial" w:hAnsi="Arial" w:cs="Arial"/>
                <w:sz w:val="22"/>
                <w:szCs w:val="22"/>
              </w:rPr>
              <w:t>submitted to</w:t>
            </w:r>
            <w:r>
              <w:rPr>
                <w:rFonts w:ascii="Arial" w:hAnsi="Arial" w:cs="Arial"/>
                <w:sz w:val="22"/>
                <w:szCs w:val="22"/>
              </w:rPr>
              <w:t>:</w:t>
            </w:r>
            <w:r w:rsidRPr="006F1F3C">
              <w:rPr>
                <w:rFonts w:ascii="Arial" w:hAnsi="Arial" w:cs="Arial"/>
                <w:sz w:val="22"/>
                <w:szCs w:val="22"/>
              </w:rPr>
              <w:t xml:space="preserve"> </w:t>
            </w:r>
            <w:r>
              <w:rPr>
                <w:rFonts w:ascii="Arial" w:hAnsi="Arial" w:cs="Arial"/>
                <w:sz w:val="22"/>
                <w:szCs w:val="22"/>
              </w:rPr>
              <w:t xml:space="preserve">(1) Approving Agency; and, (2) </w:t>
            </w:r>
            <w:r w:rsidRPr="006F1F3C">
              <w:rPr>
                <w:rFonts w:ascii="Arial" w:hAnsi="Arial" w:cs="Arial"/>
                <w:sz w:val="22"/>
                <w:szCs w:val="22"/>
              </w:rPr>
              <w:t>OEQC.  OEQC publishes notice of Draft EIS.</w:t>
            </w:r>
          </w:p>
        </w:tc>
        <w:tc>
          <w:tcPr>
            <w:tcW w:w="0" w:type="auto"/>
            <w:shd w:val="clear" w:color="auto" w:fill="auto"/>
            <w:vAlign w:val="center"/>
          </w:tcPr>
          <w:p w14:paraId="04FE91EA" w14:textId="77777777" w:rsidR="00CF753E" w:rsidRPr="00934366" w:rsidRDefault="00CF753E" w:rsidP="0081342B">
            <w:pPr>
              <w:ind w:left="540" w:hanging="540"/>
              <w:jc w:val="center"/>
              <w:rPr>
                <w:rFonts w:ascii="Arial" w:hAnsi="Arial" w:cs="Arial"/>
                <w:sz w:val="20"/>
                <w:szCs w:val="20"/>
              </w:rPr>
            </w:pPr>
          </w:p>
        </w:tc>
      </w:tr>
      <w:tr w:rsidR="00CF753E" w:rsidRPr="009254B8" w14:paraId="3DA7D63B" w14:textId="77777777" w:rsidTr="0081342B">
        <w:trPr>
          <w:trHeight w:val="611"/>
        </w:trPr>
        <w:tc>
          <w:tcPr>
            <w:tcW w:w="0" w:type="auto"/>
            <w:shd w:val="clear" w:color="auto" w:fill="auto"/>
            <w:vAlign w:val="center"/>
          </w:tcPr>
          <w:p w14:paraId="1CE64616"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Public review and comment period.</w:t>
            </w:r>
          </w:p>
        </w:tc>
        <w:tc>
          <w:tcPr>
            <w:tcW w:w="0" w:type="auto"/>
            <w:shd w:val="clear" w:color="auto" w:fill="auto"/>
            <w:vAlign w:val="center"/>
          </w:tcPr>
          <w:p w14:paraId="491B76C2" w14:textId="77777777" w:rsidR="00CF753E" w:rsidRPr="00FF1333" w:rsidRDefault="00CF753E" w:rsidP="0081342B">
            <w:pPr>
              <w:ind w:left="540" w:hanging="540"/>
              <w:jc w:val="center"/>
              <w:rPr>
                <w:rFonts w:ascii="Arial" w:hAnsi="Arial" w:cs="Arial"/>
                <w:sz w:val="22"/>
                <w:szCs w:val="22"/>
              </w:rPr>
            </w:pPr>
            <w:r w:rsidRPr="00FF1333">
              <w:rPr>
                <w:rFonts w:ascii="Arial" w:hAnsi="Arial" w:cs="Arial"/>
                <w:sz w:val="22"/>
                <w:szCs w:val="22"/>
              </w:rPr>
              <w:t>45 days</w:t>
            </w:r>
          </w:p>
        </w:tc>
      </w:tr>
      <w:tr w:rsidR="00CF753E" w:rsidRPr="009254B8" w14:paraId="39AC476C" w14:textId="77777777" w:rsidTr="0081342B">
        <w:trPr>
          <w:trHeight w:val="539"/>
        </w:trPr>
        <w:tc>
          <w:tcPr>
            <w:tcW w:w="0" w:type="auto"/>
            <w:shd w:val="clear" w:color="auto" w:fill="auto"/>
            <w:vAlign w:val="center"/>
          </w:tcPr>
          <w:p w14:paraId="6AD26288"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lastRenderedPageBreak/>
              <w:t>Agency/Applicant review comments.</w:t>
            </w:r>
          </w:p>
        </w:tc>
        <w:tc>
          <w:tcPr>
            <w:tcW w:w="0" w:type="auto"/>
            <w:shd w:val="clear" w:color="auto" w:fill="auto"/>
            <w:vAlign w:val="center"/>
          </w:tcPr>
          <w:p w14:paraId="241AF817" w14:textId="77777777" w:rsidR="00CF753E" w:rsidRPr="00934366" w:rsidRDefault="00CF753E" w:rsidP="0081342B">
            <w:pPr>
              <w:ind w:left="540" w:hanging="540"/>
              <w:jc w:val="center"/>
              <w:rPr>
                <w:rFonts w:ascii="Arial" w:hAnsi="Arial" w:cs="Arial"/>
                <w:sz w:val="20"/>
                <w:szCs w:val="20"/>
              </w:rPr>
            </w:pPr>
          </w:p>
        </w:tc>
      </w:tr>
      <w:tr w:rsidR="00CF753E" w:rsidRPr="009254B8" w14:paraId="1F8FF2B7" w14:textId="77777777" w:rsidTr="0081342B">
        <w:trPr>
          <w:trHeight w:val="800"/>
        </w:trPr>
        <w:tc>
          <w:tcPr>
            <w:tcW w:w="0" w:type="auto"/>
            <w:shd w:val="clear" w:color="auto" w:fill="auto"/>
            <w:vAlign w:val="center"/>
          </w:tcPr>
          <w:p w14:paraId="213CD580"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 xml:space="preserve">Begin Final EIS process by drafting the Final EIS.  The Final EIS shall contain all information listed in </w:t>
            </w:r>
            <w:r>
              <w:rPr>
                <w:rFonts w:ascii="Arial" w:hAnsi="Arial" w:cs="Arial"/>
                <w:sz w:val="22"/>
                <w:szCs w:val="22"/>
              </w:rPr>
              <w:t xml:space="preserve">HAR </w:t>
            </w:r>
            <w:r w:rsidRPr="006F1F3C">
              <w:rPr>
                <w:rFonts w:ascii="Arial" w:hAnsi="Arial" w:cs="Arial"/>
                <w:sz w:val="22"/>
                <w:szCs w:val="22"/>
              </w:rPr>
              <w:t>11-200-18</w:t>
            </w:r>
            <w:r>
              <w:rPr>
                <w:rFonts w:ascii="Arial" w:hAnsi="Arial" w:cs="Arial"/>
                <w:sz w:val="22"/>
                <w:szCs w:val="22"/>
              </w:rPr>
              <w:t>.</w:t>
            </w:r>
          </w:p>
        </w:tc>
        <w:tc>
          <w:tcPr>
            <w:tcW w:w="0" w:type="auto"/>
            <w:shd w:val="clear" w:color="auto" w:fill="auto"/>
            <w:vAlign w:val="center"/>
          </w:tcPr>
          <w:p w14:paraId="35D74C1E" w14:textId="77777777" w:rsidR="00CF753E" w:rsidRPr="00934366" w:rsidRDefault="00CF753E" w:rsidP="0081342B">
            <w:pPr>
              <w:ind w:left="540" w:hanging="540"/>
              <w:jc w:val="center"/>
              <w:rPr>
                <w:rFonts w:ascii="Arial" w:hAnsi="Arial" w:cs="Arial"/>
                <w:sz w:val="20"/>
                <w:szCs w:val="20"/>
              </w:rPr>
            </w:pPr>
          </w:p>
        </w:tc>
      </w:tr>
      <w:tr w:rsidR="00CF753E" w:rsidRPr="009254B8" w14:paraId="25EB35F8" w14:textId="77777777" w:rsidTr="0081342B">
        <w:trPr>
          <w:trHeight w:val="701"/>
        </w:trPr>
        <w:tc>
          <w:tcPr>
            <w:tcW w:w="0" w:type="auto"/>
            <w:shd w:val="clear" w:color="auto" w:fill="auto"/>
            <w:vAlign w:val="center"/>
          </w:tcPr>
          <w:p w14:paraId="705F2BD2"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Pr>
                <w:rFonts w:ascii="Arial" w:hAnsi="Arial" w:cs="Arial"/>
                <w:sz w:val="22"/>
                <w:szCs w:val="22"/>
              </w:rPr>
              <w:t>Draft Final EIS should be provided to Accepting Agency for preliminary review prior to submittal of Final EIS.</w:t>
            </w:r>
          </w:p>
        </w:tc>
        <w:tc>
          <w:tcPr>
            <w:tcW w:w="0" w:type="auto"/>
            <w:shd w:val="clear" w:color="auto" w:fill="auto"/>
            <w:vAlign w:val="center"/>
          </w:tcPr>
          <w:p w14:paraId="0E211339" w14:textId="77777777" w:rsidR="00CF753E" w:rsidRPr="00865EB4" w:rsidRDefault="00CF753E" w:rsidP="0081342B">
            <w:pPr>
              <w:ind w:left="540" w:hanging="540"/>
              <w:jc w:val="center"/>
              <w:rPr>
                <w:rFonts w:ascii="Arial" w:hAnsi="Arial" w:cs="Arial"/>
                <w:sz w:val="22"/>
                <w:szCs w:val="22"/>
              </w:rPr>
            </w:pPr>
          </w:p>
        </w:tc>
      </w:tr>
      <w:tr w:rsidR="00CF753E" w:rsidRPr="009254B8" w14:paraId="0554DAF1" w14:textId="77777777" w:rsidTr="0081342B">
        <w:trPr>
          <w:trHeight w:val="701"/>
        </w:trPr>
        <w:tc>
          <w:tcPr>
            <w:tcW w:w="0" w:type="auto"/>
            <w:shd w:val="clear" w:color="auto" w:fill="auto"/>
            <w:vAlign w:val="center"/>
          </w:tcPr>
          <w:p w14:paraId="4B8230C7"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Approving Agency receives Final EIS w/ final Distribution List and</w:t>
            </w:r>
            <w:r>
              <w:rPr>
                <w:rFonts w:ascii="Arial" w:hAnsi="Arial" w:cs="Arial"/>
                <w:sz w:val="22"/>
                <w:szCs w:val="22"/>
              </w:rPr>
              <w:t xml:space="preserve"> </w:t>
            </w:r>
            <w:r w:rsidRPr="006F1F3C">
              <w:rPr>
                <w:rFonts w:ascii="Arial" w:hAnsi="Arial" w:cs="Arial"/>
                <w:sz w:val="22"/>
                <w:szCs w:val="22"/>
              </w:rPr>
              <w:t>OEQC Publication Form</w:t>
            </w:r>
            <w:r>
              <w:rPr>
                <w:rFonts w:ascii="Arial" w:hAnsi="Arial" w:cs="Arial"/>
                <w:sz w:val="22"/>
                <w:szCs w:val="22"/>
              </w:rPr>
              <w:t xml:space="preserve"> for processing (compliance/non-compliance determination) within 30 days unless an extension is requested. </w:t>
            </w:r>
          </w:p>
        </w:tc>
        <w:tc>
          <w:tcPr>
            <w:tcW w:w="0" w:type="auto"/>
            <w:shd w:val="clear" w:color="auto" w:fill="auto"/>
            <w:vAlign w:val="center"/>
          </w:tcPr>
          <w:p w14:paraId="5C961949" w14:textId="77777777" w:rsidR="00CF753E" w:rsidRPr="00865EB4" w:rsidRDefault="00CF753E" w:rsidP="0081342B">
            <w:pPr>
              <w:ind w:left="540" w:hanging="540"/>
              <w:jc w:val="center"/>
              <w:rPr>
                <w:rFonts w:ascii="Arial" w:hAnsi="Arial" w:cs="Arial"/>
                <w:sz w:val="22"/>
                <w:szCs w:val="22"/>
              </w:rPr>
            </w:pPr>
            <w:r w:rsidRPr="00865EB4">
              <w:rPr>
                <w:rFonts w:ascii="Arial" w:hAnsi="Arial" w:cs="Arial"/>
                <w:sz w:val="22"/>
                <w:szCs w:val="22"/>
              </w:rPr>
              <w:t>30 days</w:t>
            </w:r>
          </w:p>
        </w:tc>
      </w:tr>
      <w:tr w:rsidR="00CF753E" w:rsidRPr="009254B8" w14:paraId="6592FC6F" w14:textId="77777777" w:rsidTr="0081342B">
        <w:trPr>
          <w:trHeight w:val="701"/>
        </w:trPr>
        <w:tc>
          <w:tcPr>
            <w:tcW w:w="0" w:type="auto"/>
            <w:shd w:val="clear" w:color="auto" w:fill="auto"/>
            <w:vAlign w:val="center"/>
          </w:tcPr>
          <w:p w14:paraId="236005BA"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Accepting Authority accepts or rejects Final EIS</w:t>
            </w:r>
            <w:r>
              <w:rPr>
                <w:rFonts w:ascii="Arial" w:hAnsi="Arial" w:cs="Arial"/>
                <w:sz w:val="22"/>
                <w:szCs w:val="22"/>
              </w:rPr>
              <w:t xml:space="preserve"> based on determination of compliance or non-compliance with HRS 343</w:t>
            </w:r>
            <w:r w:rsidRPr="006F1F3C">
              <w:rPr>
                <w:rFonts w:ascii="Arial" w:hAnsi="Arial" w:cs="Arial"/>
                <w:sz w:val="22"/>
                <w:szCs w:val="22"/>
              </w:rPr>
              <w:t xml:space="preserve">. </w:t>
            </w:r>
          </w:p>
        </w:tc>
        <w:tc>
          <w:tcPr>
            <w:tcW w:w="0" w:type="auto"/>
            <w:shd w:val="clear" w:color="auto" w:fill="auto"/>
            <w:vAlign w:val="center"/>
          </w:tcPr>
          <w:p w14:paraId="35C8708F" w14:textId="77777777" w:rsidR="00CF753E" w:rsidRPr="00934366" w:rsidRDefault="00CF753E" w:rsidP="0081342B">
            <w:pPr>
              <w:ind w:left="540" w:hanging="540"/>
              <w:jc w:val="center"/>
              <w:rPr>
                <w:rFonts w:ascii="Arial" w:hAnsi="Arial" w:cs="Arial"/>
                <w:sz w:val="20"/>
                <w:szCs w:val="20"/>
              </w:rPr>
            </w:pPr>
          </w:p>
        </w:tc>
      </w:tr>
      <w:tr w:rsidR="00CF753E" w:rsidRPr="009254B8" w14:paraId="239B4F1E" w14:textId="77777777" w:rsidTr="0081342B">
        <w:trPr>
          <w:trHeight w:val="719"/>
        </w:trPr>
        <w:tc>
          <w:tcPr>
            <w:tcW w:w="0" w:type="auto"/>
            <w:shd w:val="clear" w:color="auto" w:fill="auto"/>
            <w:vAlign w:val="center"/>
          </w:tcPr>
          <w:p w14:paraId="52EB0A09" w14:textId="77777777" w:rsidR="00CF753E" w:rsidRPr="006F1F3C" w:rsidRDefault="00CF753E" w:rsidP="0081342B">
            <w:pPr>
              <w:pStyle w:val="ListParagraph"/>
              <w:numPr>
                <w:ilvl w:val="0"/>
                <w:numId w:val="5"/>
              </w:numPr>
              <w:spacing w:line="240" w:lineRule="auto"/>
              <w:ind w:left="540" w:hanging="540"/>
              <w:rPr>
                <w:rFonts w:ascii="Arial" w:hAnsi="Arial" w:cs="Arial"/>
                <w:sz w:val="22"/>
                <w:szCs w:val="22"/>
              </w:rPr>
            </w:pPr>
            <w:r>
              <w:rPr>
                <w:rFonts w:ascii="Arial" w:hAnsi="Arial" w:cs="Arial"/>
                <w:sz w:val="22"/>
                <w:szCs w:val="22"/>
              </w:rPr>
              <w:t>Approving Agency submits Final</w:t>
            </w:r>
            <w:r w:rsidRPr="006F1F3C">
              <w:rPr>
                <w:rFonts w:ascii="Arial" w:hAnsi="Arial" w:cs="Arial"/>
                <w:sz w:val="22"/>
                <w:szCs w:val="22"/>
              </w:rPr>
              <w:t xml:space="preserve"> EIS</w:t>
            </w:r>
            <w:r>
              <w:rPr>
                <w:rFonts w:ascii="Arial" w:hAnsi="Arial" w:cs="Arial"/>
                <w:sz w:val="22"/>
                <w:szCs w:val="22"/>
              </w:rPr>
              <w:t>,</w:t>
            </w:r>
            <w:r w:rsidRPr="006F1F3C">
              <w:rPr>
                <w:rFonts w:ascii="Arial" w:hAnsi="Arial" w:cs="Arial"/>
                <w:sz w:val="22"/>
                <w:szCs w:val="22"/>
              </w:rPr>
              <w:t xml:space="preserve"> interested party EIS Distribution List</w:t>
            </w:r>
            <w:r>
              <w:rPr>
                <w:rFonts w:ascii="Arial" w:hAnsi="Arial" w:cs="Arial"/>
                <w:sz w:val="22"/>
                <w:szCs w:val="22"/>
              </w:rPr>
              <w:t>, and OEQC Publication Form</w:t>
            </w:r>
            <w:r w:rsidRPr="006F1F3C">
              <w:rPr>
                <w:rFonts w:ascii="Arial" w:hAnsi="Arial" w:cs="Arial"/>
                <w:sz w:val="22"/>
                <w:szCs w:val="22"/>
              </w:rPr>
              <w:t xml:space="preserve"> to</w:t>
            </w:r>
            <w:r>
              <w:rPr>
                <w:rFonts w:ascii="Arial" w:hAnsi="Arial" w:cs="Arial"/>
                <w:sz w:val="22"/>
                <w:szCs w:val="22"/>
              </w:rPr>
              <w:t xml:space="preserve"> OEQC</w:t>
            </w:r>
            <w:r w:rsidRPr="006F1F3C">
              <w:rPr>
                <w:rFonts w:ascii="Arial" w:hAnsi="Arial" w:cs="Arial"/>
                <w:sz w:val="22"/>
                <w:szCs w:val="22"/>
              </w:rPr>
              <w:t>.  OEQC publishes notice of acceptance or non-acceptance of Final EIS</w:t>
            </w:r>
            <w:r>
              <w:rPr>
                <w:rFonts w:ascii="Arial" w:hAnsi="Arial" w:cs="Arial"/>
                <w:sz w:val="22"/>
                <w:szCs w:val="22"/>
              </w:rPr>
              <w:t>.</w:t>
            </w:r>
          </w:p>
        </w:tc>
        <w:tc>
          <w:tcPr>
            <w:tcW w:w="0" w:type="auto"/>
            <w:shd w:val="clear" w:color="auto" w:fill="auto"/>
            <w:vAlign w:val="center"/>
          </w:tcPr>
          <w:p w14:paraId="1DECE1B3" w14:textId="77777777" w:rsidR="00CF753E" w:rsidRPr="00934366" w:rsidRDefault="00CF753E" w:rsidP="0081342B">
            <w:pPr>
              <w:ind w:left="540" w:hanging="540"/>
              <w:jc w:val="center"/>
              <w:rPr>
                <w:rFonts w:ascii="Arial" w:hAnsi="Arial" w:cs="Arial"/>
                <w:sz w:val="20"/>
                <w:szCs w:val="20"/>
              </w:rPr>
            </w:pPr>
          </w:p>
        </w:tc>
      </w:tr>
      <w:tr w:rsidR="00F806C6" w:rsidRPr="009254B8" w14:paraId="52E81D8C" w14:textId="77777777" w:rsidTr="0081342B">
        <w:trPr>
          <w:trHeight w:val="719"/>
        </w:trPr>
        <w:tc>
          <w:tcPr>
            <w:tcW w:w="0" w:type="auto"/>
            <w:shd w:val="clear" w:color="auto" w:fill="auto"/>
            <w:vAlign w:val="center"/>
          </w:tcPr>
          <w:p w14:paraId="655BF3A5" w14:textId="5B9540B9" w:rsidR="00F806C6" w:rsidRDefault="00F806C6" w:rsidP="00F806C6">
            <w:pPr>
              <w:pStyle w:val="ListParagraph"/>
              <w:numPr>
                <w:ilvl w:val="0"/>
                <w:numId w:val="5"/>
              </w:numPr>
              <w:spacing w:line="240" w:lineRule="auto"/>
              <w:ind w:left="540" w:hanging="540"/>
              <w:rPr>
                <w:rFonts w:ascii="Arial" w:hAnsi="Arial" w:cs="Arial"/>
                <w:sz w:val="22"/>
                <w:szCs w:val="22"/>
              </w:rPr>
            </w:pPr>
            <w:r w:rsidRPr="006F1F3C">
              <w:rPr>
                <w:rFonts w:ascii="Arial" w:hAnsi="Arial" w:cs="Arial"/>
                <w:sz w:val="22"/>
                <w:szCs w:val="22"/>
              </w:rPr>
              <w:t>Appeal period to challenge acceptance or non-acceptance of Final EIS.</w:t>
            </w:r>
          </w:p>
        </w:tc>
        <w:tc>
          <w:tcPr>
            <w:tcW w:w="0" w:type="auto"/>
            <w:shd w:val="clear" w:color="auto" w:fill="auto"/>
            <w:vAlign w:val="center"/>
          </w:tcPr>
          <w:p w14:paraId="139EEC9E" w14:textId="07E0F212" w:rsidR="00F806C6" w:rsidRPr="00934366" w:rsidRDefault="00F806C6" w:rsidP="00F806C6">
            <w:pPr>
              <w:ind w:left="540" w:hanging="540"/>
              <w:jc w:val="center"/>
              <w:rPr>
                <w:rFonts w:ascii="Arial" w:hAnsi="Arial" w:cs="Arial"/>
                <w:sz w:val="20"/>
                <w:szCs w:val="20"/>
              </w:rPr>
            </w:pPr>
            <w:r w:rsidRPr="00865EB4">
              <w:rPr>
                <w:rFonts w:ascii="Arial" w:hAnsi="Arial" w:cs="Arial"/>
                <w:sz w:val="22"/>
                <w:szCs w:val="22"/>
              </w:rPr>
              <w:t>60 days</w:t>
            </w:r>
          </w:p>
        </w:tc>
      </w:tr>
      <w:tr w:rsidR="00CF753E" w:rsidRPr="009254B8" w14:paraId="0379E48D" w14:textId="77777777" w:rsidTr="0081342B">
        <w:trPr>
          <w:trHeight w:val="611"/>
        </w:trPr>
        <w:tc>
          <w:tcPr>
            <w:tcW w:w="0" w:type="auto"/>
            <w:shd w:val="clear" w:color="auto" w:fill="auto"/>
            <w:vAlign w:val="center"/>
          </w:tcPr>
          <w:p w14:paraId="1837097E" w14:textId="24224173" w:rsidR="00CF753E" w:rsidRPr="00F806C6" w:rsidRDefault="00F806C6" w:rsidP="00F806C6">
            <w:pPr>
              <w:spacing w:line="240" w:lineRule="auto"/>
              <w:rPr>
                <w:rFonts w:ascii="Arial" w:hAnsi="Arial" w:cs="Arial"/>
                <w:b/>
                <w:sz w:val="22"/>
                <w:szCs w:val="22"/>
              </w:rPr>
            </w:pPr>
            <w:r w:rsidRPr="00F806C6">
              <w:rPr>
                <w:rFonts w:ascii="Arial" w:hAnsi="Arial" w:cs="Arial"/>
                <w:b/>
                <w:sz w:val="22"/>
                <w:szCs w:val="22"/>
              </w:rPr>
              <w:t>Estimated Time for Completing the Permit Process</w:t>
            </w:r>
          </w:p>
        </w:tc>
        <w:tc>
          <w:tcPr>
            <w:tcW w:w="0" w:type="auto"/>
            <w:shd w:val="clear" w:color="auto" w:fill="auto"/>
            <w:vAlign w:val="center"/>
          </w:tcPr>
          <w:p w14:paraId="64454F77" w14:textId="77777777" w:rsidR="00F806C6" w:rsidRPr="00F806C6" w:rsidRDefault="00F806C6" w:rsidP="0081342B">
            <w:pPr>
              <w:ind w:left="540" w:hanging="540"/>
              <w:jc w:val="center"/>
              <w:rPr>
                <w:rFonts w:ascii="Arial" w:hAnsi="Arial" w:cs="Arial"/>
                <w:b/>
                <w:sz w:val="22"/>
                <w:szCs w:val="22"/>
              </w:rPr>
            </w:pPr>
            <w:r w:rsidRPr="00F806C6">
              <w:rPr>
                <w:rFonts w:ascii="Arial" w:hAnsi="Arial" w:cs="Arial"/>
                <w:b/>
                <w:sz w:val="22"/>
                <w:szCs w:val="22"/>
              </w:rPr>
              <w:t xml:space="preserve">6-18+ </w:t>
            </w:r>
          </w:p>
          <w:p w14:paraId="1273E737" w14:textId="52066777" w:rsidR="00CF753E" w:rsidRPr="00F806C6" w:rsidRDefault="00F806C6" w:rsidP="0081342B">
            <w:pPr>
              <w:ind w:left="540" w:hanging="540"/>
              <w:jc w:val="center"/>
              <w:rPr>
                <w:rFonts w:ascii="Arial" w:hAnsi="Arial" w:cs="Arial"/>
                <w:b/>
                <w:sz w:val="22"/>
                <w:szCs w:val="22"/>
              </w:rPr>
            </w:pPr>
            <w:r w:rsidRPr="00F806C6">
              <w:rPr>
                <w:rFonts w:ascii="Arial" w:hAnsi="Arial" w:cs="Arial"/>
                <w:b/>
                <w:sz w:val="22"/>
                <w:szCs w:val="22"/>
              </w:rPr>
              <w:t>months</w:t>
            </w:r>
          </w:p>
        </w:tc>
      </w:tr>
    </w:tbl>
    <w:p w14:paraId="7641B835" w14:textId="77777777" w:rsidR="00CF753E" w:rsidRDefault="00CF753E" w:rsidP="00CF753E">
      <w:pPr>
        <w:spacing w:line="240" w:lineRule="auto"/>
        <w:ind w:left="540" w:hanging="540"/>
        <w:rPr>
          <w:rFonts w:ascii="Arial" w:hAnsi="Arial" w:cs="Arial"/>
          <w:b/>
          <w:sz w:val="20"/>
          <w:szCs w:val="20"/>
        </w:rPr>
      </w:pPr>
    </w:p>
    <w:p w14:paraId="29A0BEE3" w14:textId="77777777" w:rsidR="00F806C6" w:rsidRDefault="00CF753E" w:rsidP="00F806C6">
      <w:pPr>
        <w:spacing w:line="240" w:lineRule="auto"/>
        <w:rPr>
          <w:rFonts w:ascii="Arial" w:hAnsi="Arial" w:cs="Arial"/>
          <w:b/>
          <w:sz w:val="20"/>
          <w:szCs w:val="20"/>
        </w:rPr>
      </w:pPr>
      <w:r>
        <w:rPr>
          <w:rFonts w:ascii="Arial" w:hAnsi="Arial" w:cs="Arial"/>
          <w:b/>
          <w:sz w:val="20"/>
          <w:szCs w:val="20"/>
        </w:rPr>
        <w:t>Estimated Time:  Varies depending on the timelines involved in the EIS determination and other activities</w:t>
      </w:r>
      <w:r w:rsidR="00F806C6">
        <w:rPr>
          <w:rFonts w:ascii="Arial" w:hAnsi="Arial" w:cs="Arial"/>
          <w:b/>
          <w:sz w:val="20"/>
          <w:szCs w:val="20"/>
        </w:rPr>
        <w:t xml:space="preserve"> </w:t>
      </w:r>
    </w:p>
    <w:p w14:paraId="306AC7DC" w14:textId="2A5F858E" w:rsidR="00CF753E" w:rsidRDefault="00F806C6" w:rsidP="00CF753E">
      <w:pPr>
        <w:spacing w:line="240" w:lineRule="auto"/>
        <w:ind w:left="540" w:hanging="540"/>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attached</w:t>
      </w:r>
      <w:proofErr w:type="gramEnd"/>
      <w:r>
        <w:rPr>
          <w:rFonts w:ascii="Arial" w:hAnsi="Arial" w:cs="Arial"/>
          <w:b/>
          <w:sz w:val="20"/>
          <w:szCs w:val="20"/>
        </w:rPr>
        <w:t xml:space="preserve"> reports, public input and response, agency review, etc.)</w:t>
      </w:r>
      <w:r w:rsidR="00CF753E">
        <w:rPr>
          <w:rFonts w:ascii="Arial" w:hAnsi="Arial" w:cs="Arial"/>
          <w:b/>
          <w:sz w:val="20"/>
          <w:szCs w:val="20"/>
        </w:rPr>
        <w:t xml:space="preserve">. </w:t>
      </w:r>
    </w:p>
    <w:p w14:paraId="0B8218F1" w14:textId="77777777" w:rsidR="00CF753E" w:rsidRDefault="00CF753E" w:rsidP="00CF753E">
      <w:pPr>
        <w:spacing w:line="240" w:lineRule="auto"/>
        <w:ind w:left="540" w:hanging="540"/>
        <w:rPr>
          <w:rFonts w:ascii="Arial" w:hAnsi="Arial" w:cs="Arial"/>
          <w:b/>
          <w:sz w:val="20"/>
          <w:szCs w:val="20"/>
        </w:rPr>
      </w:pPr>
      <w:bookmarkStart w:id="0" w:name="_GoBack"/>
      <w:bookmarkEnd w:id="0"/>
    </w:p>
    <w:p w14:paraId="1DC9EF8C" w14:textId="77777777" w:rsidR="00F806C6" w:rsidRDefault="00F806C6" w:rsidP="00F806C6">
      <w:pPr>
        <w:spacing w:line="240" w:lineRule="auto"/>
        <w:rPr>
          <w:rFonts w:ascii="Arial" w:hAnsi="Arial" w:cs="Arial"/>
          <w:b/>
          <w:sz w:val="20"/>
          <w:szCs w:val="20"/>
        </w:rPr>
      </w:pPr>
    </w:p>
    <w:p w14:paraId="66F78AED" w14:textId="77777777" w:rsidR="00F806C6" w:rsidRPr="00122FD7" w:rsidRDefault="00F806C6" w:rsidP="00F806C6">
      <w:pPr>
        <w:spacing w:line="240" w:lineRule="auto"/>
        <w:rPr>
          <w:rFonts w:ascii="Arial" w:hAnsi="Arial" w:cs="Arial"/>
          <w:b/>
          <w:sz w:val="22"/>
          <w:szCs w:val="22"/>
        </w:rPr>
      </w:pPr>
      <w:r w:rsidRPr="00122FD7">
        <w:rPr>
          <w:rFonts w:ascii="Arial" w:hAnsi="Arial" w:cs="Arial"/>
          <w:b/>
          <w:sz w:val="22"/>
          <w:szCs w:val="22"/>
        </w:rPr>
        <w:t>Special Conditions / Requirements for Renewable Energy Projects:</w:t>
      </w:r>
    </w:p>
    <w:p w14:paraId="4199815C" w14:textId="77777777" w:rsidR="00F806C6" w:rsidRPr="00122FD7" w:rsidRDefault="00F806C6" w:rsidP="00F806C6">
      <w:pPr>
        <w:pStyle w:val="Default"/>
        <w:numPr>
          <w:ilvl w:val="0"/>
          <w:numId w:val="11"/>
        </w:numPr>
        <w:rPr>
          <w:sz w:val="22"/>
          <w:szCs w:val="22"/>
        </w:rPr>
      </w:pPr>
      <w:r w:rsidRPr="00122FD7">
        <w:rPr>
          <w:sz w:val="22"/>
          <w:szCs w:val="22"/>
        </w:rPr>
        <w:t>For projects going straight to an EIS under Act 172 (2012), no environmental assessment is required, but sufficient information must be provided in the EIS Preparation Notice to support thorough project review and identification of all interested parties for consultation.</w:t>
      </w:r>
    </w:p>
    <w:p w14:paraId="39048967" w14:textId="77777777" w:rsidR="00F806C6" w:rsidRPr="00122FD7" w:rsidRDefault="00F806C6" w:rsidP="00F806C6">
      <w:pPr>
        <w:pStyle w:val="Default"/>
        <w:numPr>
          <w:ilvl w:val="0"/>
          <w:numId w:val="11"/>
        </w:numPr>
        <w:rPr>
          <w:sz w:val="22"/>
          <w:szCs w:val="22"/>
        </w:rPr>
      </w:pPr>
      <w:r w:rsidRPr="00122FD7">
        <w:rPr>
          <w:sz w:val="22"/>
          <w:szCs w:val="22"/>
        </w:rPr>
        <w:t xml:space="preserve">EA/EIS must contain information specific to the proposed action.  If using templates or other EAs/EISs as a base, components should be inserted into the instant EIS only if relevant and specific to the impacts of the instant action being proposed. </w:t>
      </w:r>
    </w:p>
    <w:p w14:paraId="7E180C3B" w14:textId="77777777" w:rsidR="00F806C6" w:rsidRPr="00122FD7" w:rsidRDefault="00F806C6" w:rsidP="00F806C6">
      <w:pPr>
        <w:pStyle w:val="Default"/>
        <w:numPr>
          <w:ilvl w:val="0"/>
          <w:numId w:val="11"/>
        </w:numPr>
        <w:rPr>
          <w:sz w:val="22"/>
          <w:szCs w:val="22"/>
        </w:rPr>
      </w:pPr>
      <w:r w:rsidRPr="00122FD7">
        <w:rPr>
          <w:sz w:val="22"/>
          <w:szCs w:val="22"/>
        </w:rPr>
        <w:t>State and/or County permits required for a biofuel/biomass facility or waste-to-energy facility can determine whether or not the project is a “waste-to-energy facility” or “oil refinery” under HRS 343-5(a).  Projects should be classified and named consistently by various agencies throughout the various permitting processes.  Review the definition of “power-generating facility” to see if your project fits this definition and triggers HRS 343 review.</w:t>
      </w:r>
    </w:p>
    <w:p w14:paraId="7B9A2F23" w14:textId="77777777" w:rsidR="00F806C6" w:rsidRPr="00122FD7" w:rsidRDefault="00F806C6" w:rsidP="00F806C6">
      <w:pPr>
        <w:pStyle w:val="Default"/>
        <w:numPr>
          <w:ilvl w:val="0"/>
          <w:numId w:val="11"/>
        </w:numPr>
        <w:rPr>
          <w:sz w:val="22"/>
          <w:szCs w:val="22"/>
        </w:rPr>
      </w:pPr>
      <w:r w:rsidRPr="00122FD7">
        <w:rPr>
          <w:sz w:val="22"/>
          <w:szCs w:val="22"/>
        </w:rPr>
        <w:t>Project proponents should work closely with the approving agency throughout the EA/EIS process to facilitate document review, processing, and publication.</w:t>
      </w:r>
    </w:p>
    <w:p w14:paraId="650F4DB8" w14:textId="77777777" w:rsidR="00F806C6" w:rsidRPr="00122FD7" w:rsidRDefault="00F806C6" w:rsidP="00F806C6">
      <w:pPr>
        <w:pStyle w:val="Default"/>
        <w:numPr>
          <w:ilvl w:val="0"/>
          <w:numId w:val="11"/>
        </w:numPr>
        <w:rPr>
          <w:sz w:val="22"/>
          <w:szCs w:val="22"/>
        </w:rPr>
      </w:pPr>
      <w:r w:rsidRPr="00122FD7">
        <w:rPr>
          <w:sz w:val="22"/>
          <w:szCs w:val="22"/>
        </w:rPr>
        <w:t xml:space="preserve">If a proposed project is subject to both the federal National Environmental Policy Act (NEPA) and HRS 343, the project proponent and agencies shall reduce duplication of requirements to the fullest extent possible as described in HAR 11-200-25.   </w:t>
      </w:r>
    </w:p>
    <w:p w14:paraId="17257D5D" w14:textId="77777777" w:rsidR="00F806C6" w:rsidRPr="00122FD7" w:rsidRDefault="00F806C6" w:rsidP="00F806C6">
      <w:pPr>
        <w:pStyle w:val="Default"/>
        <w:numPr>
          <w:ilvl w:val="0"/>
          <w:numId w:val="11"/>
        </w:numPr>
        <w:rPr>
          <w:sz w:val="22"/>
          <w:szCs w:val="22"/>
        </w:rPr>
      </w:pPr>
      <w:r w:rsidRPr="00122FD7">
        <w:rPr>
          <w:sz w:val="22"/>
          <w:szCs w:val="22"/>
        </w:rPr>
        <w:t>“Voluntary” environmental review documents developed for projects that do not trigger HRS 343 will not be published or processed as prescribed under HRS 343, but can add value to the environmental review/permitting process.  Non-343 review documents should be clearly identified as such, and not labeled as an Environmental Impact Statement or Environmental Assessment (e.g., “Environmental Review Document,” Environmental Report”).</w:t>
      </w:r>
    </w:p>
    <w:p w14:paraId="14471362" w14:textId="77777777" w:rsidR="00F806C6" w:rsidRPr="00122FD7" w:rsidRDefault="00F806C6" w:rsidP="00F806C6">
      <w:pPr>
        <w:pStyle w:val="Default"/>
        <w:numPr>
          <w:ilvl w:val="0"/>
          <w:numId w:val="11"/>
        </w:numPr>
        <w:rPr>
          <w:sz w:val="22"/>
          <w:szCs w:val="22"/>
        </w:rPr>
      </w:pPr>
      <w:r w:rsidRPr="00122FD7">
        <w:rPr>
          <w:sz w:val="22"/>
          <w:szCs w:val="22"/>
        </w:rPr>
        <w:t>Exemptions from HRS 343 that are issued by an agency should be provided to OEQC for publication.</w:t>
      </w:r>
    </w:p>
    <w:p w14:paraId="19039D1C" w14:textId="77777777" w:rsidR="00CF753E" w:rsidRPr="00B70809" w:rsidRDefault="00CF753E" w:rsidP="00CF753E">
      <w:pPr>
        <w:spacing w:line="240" w:lineRule="auto"/>
        <w:ind w:left="540" w:hanging="540"/>
        <w:rPr>
          <w:rFonts w:ascii="Arial" w:hAnsi="Arial" w:cs="Arial"/>
          <w:b/>
          <w:sz w:val="20"/>
          <w:szCs w:val="20"/>
        </w:rPr>
      </w:pPr>
    </w:p>
    <w:p w14:paraId="573769BC" w14:textId="77777777" w:rsidR="0013139A" w:rsidRPr="00CF753E" w:rsidRDefault="0013139A" w:rsidP="00CF753E"/>
    <w:sectPr w:rsidR="0013139A" w:rsidRPr="00CF753E" w:rsidSect="00695556">
      <w:headerReference w:type="default" r:id="rId10"/>
      <w:footerReference w:type="default" r:id="rId11"/>
      <w:headerReference w:type="first" r:id="rId12"/>
      <w:footerReference w:type="first" r:id="rId13"/>
      <w:pgSz w:w="12240" w:h="15840"/>
      <w:pgMar w:top="288" w:right="720" w:bottom="245" w:left="72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1302" w14:textId="77777777" w:rsidR="006155A9" w:rsidRDefault="006155A9" w:rsidP="00972920">
      <w:pPr>
        <w:spacing w:line="240" w:lineRule="auto"/>
      </w:pPr>
      <w:r>
        <w:separator/>
      </w:r>
    </w:p>
  </w:endnote>
  <w:endnote w:type="continuationSeparator" w:id="0">
    <w:p w14:paraId="7657AC34" w14:textId="77777777" w:rsidR="006155A9" w:rsidRDefault="006155A9" w:rsidP="00972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B54D" w14:textId="0F2D6387" w:rsidR="00AE213F" w:rsidRPr="00DA2C37" w:rsidRDefault="00AE213F" w:rsidP="00AE213F">
    <w:pPr>
      <w:spacing w:line="240" w:lineRule="auto"/>
      <w:rPr>
        <w:rFonts w:ascii="Arial" w:hAnsi="Arial" w:cs="Arial"/>
        <w:sz w:val="20"/>
        <w:szCs w:val="20"/>
      </w:rPr>
    </w:pPr>
    <w:r>
      <w:rPr>
        <w:rFonts w:ascii="Arial" w:hAnsi="Arial" w:cs="Arial"/>
        <w:b/>
        <w:sz w:val="18"/>
        <w:szCs w:val="18"/>
      </w:rPr>
      <w:t xml:space="preserve">July </w:t>
    </w:r>
    <w:r w:rsidRPr="0012542C">
      <w:rPr>
        <w:rFonts w:ascii="Arial" w:hAnsi="Arial" w:cs="Arial"/>
        <w:b/>
        <w:sz w:val="18"/>
        <w:szCs w:val="18"/>
      </w:rPr>
      <w:t>201</w:t>
    </w:r>
    <w:r w:rsidR="00482893">
      <w:rPr>
        <w:rFonts w:ascii="Arial" w:hAnsi="Arial" w:cs="Arial"/>
        <w:b/>
        <w:sz w:val="18"/>
        <w:szCs w:val="18"/>
      </w:rPr>
      <w:t>4</w:t>
    </w:r>
    <w:r w:rsidRPr="0012542C">
      <w:rPr>
        <w:rFonts w:ascii="Arial" w:hAnsi="Arial" w:cs="Arial"/>
        <w:sz w:val="18"/>
        <w:szCs w:val="18"/>
      </w:rPr>
      <w:t xml:space="preserve">   Permit Briefs are for guidance only. Confirm procedures with the appropriate agency. </w:t>
    </w:r>
    <w:r w:rsidR="00482893">
      <w:rPr>
        <w:rFonts w:ascii="Arial" w:hAnsi="Arial" w:cs="Arial"/>
        <w:sz w:val="18"/>
        <w:szCs w:val="18"/>
      </w:rPr>
      <w:t xml:space="preserve">                          </w:t>
    </w:r>
    <w:r w:rsidRPr="0012542C">
      <w:rPr>
        <w:rFonts w:ascii="Arial" w:hAnsi="Arial" w:cs="Arial"/>
        <w:sz w:val="18"/>
        <w:szCs w:val="18"/>
      </w:rPr>
      <w:t xml:space="preserve"> </w:t>
    </w:r>
    <w:r w:rsidR="00F806C6" w:rsidRPr="004B050C">
      <w:rPr>
        <w:rFonts w:ascii="Arial" w:hAnsi="Arial" w:cs="Arial"/>
        <w:noProof/>
        <w:sz w:val="16"/>
        <w:szCs w:val="16"/>
      </w:rPr>
      <w:drawing>
        <wp:inline distT="0" distB="0" distL="0" distR="0" wp14:anchorId="23B96ABB" wp14:editId="1B405C9B">
          <wp:extent cx="1019175" cy="296487"/>
          <wp:effectExtent l="0" t="0" r="0" b="8890"/>
          <wp:docPr id="4" name="Picture 4" descr="J:\Public\HSEO Logo_est 2014\HSEO Logo\JPG\HSEO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ublic\HSEO Logo_est 2014\HSEO Logo\JPG\HSEO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703" cy="31671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8DBF" w14:textId="7E0E645C" w:rsidR="00695556" w:rsidRPr="00695556" w:rsidRDefault="00695556" w:rsidP="00695556">
    <w:pPr>
      <w:spacing w:line="240" w:lineRule="auto"/>
      <w:rPr>
        <w:rFonts w:ascii="Arial" w:hAnsi="Arial" w:cs="Arial"/>
        <w:sz w:val="16"/>
        <w:szCs w:val="16"/>
      </w:rPr>
    </w:pPr>
    <w:r w:rsidRPr="00F806C6">
      <w:rPr>
        <w:rFonts w:ascii="Arial" w:hAnsi="Arial" w:cs="Arial"/>
        <w:b/>
        <w:sz w:val="18"/>
        <w:szCs w:val="18"/>
      </w:rPr>
      <w:t>July 2014</w:t>
    </w:r>
    <w:r w:rsidRPr="00F806C6">
      <w:rPr>
        <w:rFonts w:ascii="Arial" w:hAnsi="Arial" w:cs="Arial"/>
        <w:sz w:val="18"/>
        <w:szCs w:val="18"/>
      </w:rPr>
      <w:t xml:space="preserve">   Permit Briefs are for guidance only. Confirm procedures with the appropriate agency</w:t>
    </w:r>
    <w:r w:rsidR="00F806C6">
      <w:rPr>
        <w:rFonts w:ascii="Arial" w:hAnsi="Arial" w:cs="Arial"/>
        <w:sz w:val="16"/>
        <w:szCs w:val="16"/>
      </w:rPr>
      <w:t xml:space="preserve">.        </w:t>
    </w:r>
    <w:r w:rsidRPr="00695556">
      <w:rPr>
        <w:rFonts w:ascii="Arial" w:hAnsi="Arial" w:cs="Arial"/>
        <w:sz w:val="16"/>
        <w:szCs w:val="16"/>
      </w:rPr>
      <w:t xml:space="preserve">    </w:t>
    </w:r>
    <w:r>
      <w:rPr>
        <w:rFonts w:ascii="Arial" w:hAnsi="Arial" w:cs="Arial"/>
        <w:sz w:val="16"/>
        <w:szCs w:val="16"/>
      </w:rPr>
      <w:t xml:space="preserve">                    </w:t>
    </w:r>
    <w:r w:rsidRPr="00695556">
      <w:rPr>
        <w:rFonts w:ascii="Arial" w:hAnsi="Arial" w:cs="Arial"/>
        <w:sz w:val="16"/>
        <w:szCs w:val="16"/>
      </w:rPr>
      <w:t xml:space="preserve"> </w:t>
    </w:r>
    <w:r w:rsidR="00F806C6" w:rsidRPr="004B050C">
      <w:rPr>
        <w:rFonts w:ascii="Arial" w:hAnsi="Arial" w:cs="Arial"/>
        <w:noProof/>
        <w:sz w:val="16"/>
        <w:szCs w:val="16"/>
      </w:rPr>
      <w:drawing>
        <wp:inline distT="0" distB="0" distL="0" distR="0" wp14:anchorId="60AD924E" wp14:editId="7DD2B477">
          <wp:extent cx="1019175" cy="296487"/>
          <wp:effectExtent l="0" t="0" r="0" b="8890"/>
          <wp:docPr id="3" name="Picture 3" descr="J:\Public\HSEO Logo_est 2014\HSEO Logo\JPG\HSEO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ublic\HSEO Logo_est 2014\HSEO Logo\JPG\HSEO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703" cy="316713"/>
                  </a:xfrm>
                  <a:prstGeom prst="rect">
                    <a:avLst/>
                  </a:prstGeom>
                  <a:noFill/>
                  <a:ln>
                    <a:noFill/>
                  </a:ln>
                </pic:spPr>
              </pic:pic>
            </a:graphicData>
          </a:graphic>
        </wp:inline>
      </w:drawing>
    </w:r>
  </w:p>
  <w:p w14:paraId="7F0653DF" w14:textId="77777777" w:rsidR="00695556" w:rsidRDefault="00695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57100" w14:textId="77777777" w:rsidR="006155A9" w:rsidRDefault="006155A9" w:rsidP="00972920">
      <w:pPr>
        <w:spacing w:line="240" w:lineRule="auto"/>
      </w:pPr>
      <w:r>
        <w:separator/>
      </w:r>
    </w:p>
  </w:footnote>
  <w:footnote w:type="continuationSeparator" w:id="0">
    <w:p w14:paraId="7FB14E64" w14:textId="77777777" w:rsidR="006155A9" w:rsidRDefault="006155A9" w:rsidP="009729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CE58" w14:textId="26D7DEC9" w:rsidR="002076FD" w:rsidRDefault="002076FD" w:rsidP="0013139A">
    <w:pPr>
      <w:pStyle w:val="Header"/>
      <w:tabs>
        <w:tab w:val="clear" w:pos="4680"/>
        <w:tab w:val="clear" w:pos="9360"/>
        <w:tab w:val="left" w:pos="1092"/>
      </w:tabs>
      <w:jc w:val="both"/>
    </w:pPr>
  </w:p>
  <w:p w14:paraId="666A589D" w14:textId="77777777" w:rsidR="0013139A" w:rsidRDefault="0013139A" w:rsidP="0013139A">
    <w:pPr>
      <w:pStyle w:val="Header"/>
      <w:tabs>
        <w:tab w:val="clear" w:pos="4680"/>
        <w:tab w:val="clear" w:pos="9360"/>
        <w:tab w:val="left" w:pos="1092"/>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0B558" w14:textId="54A99EB5" w:rsidR="007A3932" w:rsidRPr="007A3932" w:rsidRDefault="007A3932" w:rsidP="007A3932">
    <w:pPr>
      <w:jc w:val="center"/>
      <w:rPr>
        <w:rFonts w:ascii="Arial" w:hAnsi="Arial" w:cs="Arial"/>
        <w:b/>
        <w:sz w:val="22"/>
        <w:szCs w:val="22"/>
      </w:rPr>
    </w:pPr>
    <w:r w:rsidRPr="007A3932">
      <w:rPr>
        <w:rFonts w:ascii="Arial" w:hAnsi="Arial" w:cs="Arial"/>
        <w:b/>
        <w:sz w:val="22"/>
        <w:szCs w:val="22"/>
      </w:rPr>
      <w:t xml:space="preserve">Environmental Impact Statement </w:t>
    </w:r>
    <w:r w:rsidR="00F806C6">
      <w:rPr>
        <w:rFonts w:ascii="Arial" w:hAnsi="Arial" w:cs="Arial"/>
        <w:b/>
        <w:sz w:val="22"/>
        <w:szCs w:val="22"/>
      </w:rPr>
      <w:t>(EIS)</w:t>
    </w:r>
  </w:p>
  <w:p w14:paraId="5CC6C546" w14:textId="0A3A6B36" w:rsidR="00C30C8F" w:rsidRPr="007A3932" w:rsidRDefault="007A3932" w:rsidP="00C30C8F">
    <w:pPr>
      <w:jc w:val="center"/>
      <w:rPr>
        <w:rFonts w:ascii="Arial" w:hAnsi="Arial" w:cs="Arial"/>
        <w:b/>
        <w:sz w:val="22"/>
        <w:szCs w:val="22"/>
      </w:rPr>
    </w:pPr>
    <w:r w:rsidRPr="007A3932">
      <w:rPr>
        <w:rFonts w:ascii="Arial" w:hAnsi="Arial" w:cs="Arial"/>
        <w:b/>
        <w:sz w:val="22"/>
        <w:szCs w:val="22"/>
      </w:rPr>
      <w:t xml:space="preserve">Hawaii Department of Health </w:t>
    </w:r>
    <w:r w:rsidR="00F806C6">
      <w:rPr>
        <w:rFonts w:ascii="Arial" w:hAnsi="Arial" w:cs="Arial"/>
        <w:b/>
        <w:sz w:val="22"/>
        <w:szCs w:val="22"/>
      </w:rPr>
      <w:t>(DOH)</w:t>
    </w:r>
  </w:p>
  <w:p w14:paraId="508AE5F2" w14:textId="0546F046" w:rsidR="00C30C8F" w:rsidRPr="007A3932" w:rsidRDefault="007A3932" w:rsidP="00C30C8F">
    <w:pPr>
      <w:pStyle w:val="Header"/>
      <w:jc w:val="center"/>
      <w:rPr>
        <w:b/>
        <w:sz w:val="22"/>
        <w:szCs w:val="22"/>
      </w:rPr>
    </w:pPr>
    <w:r w:rsidRPr="007A3932">
      <w:rPr>
        <w:rFonts w:ascii="Arial" w:hAnsi="Arial" w:cs="Arial"/>
        <w:b/>
        <w:sz w:val="22"/>
        <w:szCs w:val="22"/>
      </w:rPr>
      <w:t xml:space="preserve">Office of Environmental Quality Control </w:t>
    </w:r>
    <w:r w:rsidR="00F806C6">
      <w:rPr>
        <w:rFonts w:ascii="Arial" w:hAnsi="Arial" w:cs="Arial"/>
        <w:b/>
        <w:sz w:val="22"/>
        <w:szCs w:val="22"/>
      </w:rPr>
      <w:t>(OEQC)</w:t>
    </w:r>
  </w:p>
  <w:p w14:paraId="2040A638" w14:textId="77777777" w:rsidR="00C846D0" w:rsidRDefault="00C846D0" w:rsidP="00C846D0">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382"/>
    <w:multiLevelType w:val="hybridMultilevel"/>
    <w:tmpl w:val="715E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24963"/>
    <w:multiLevelType w:val="hybridMultilevel"/>
    <w:tmpl w:val="3B16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2797"/>
    <w:multiLevelType w:val="hybridMultilevel"/>
    <w:tmpl w:val="F6687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A13B9"/>
    <w:multiLevelType w:val="hybridMultilevel"/>
    <w:tmpl w:val="C6F0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17CAB"/>
    <w:multiLevelType w:val="hybridMultilevel"/>
    <w:tmpl w:val="EF982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4174B7"/>
    <w:multiLevelType w:val="hybridMultilevel"/>
    <w:tmpl w:val="C100A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C6484"/>
    <w:multiLevelType w:val="hybridMultilevel"/>
    <w:tmpl w:val="ADF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62A56"/>
    <w:multiLevelType w:val="hybridMultilevel"/>
    <w:tmpl w:val="9B9A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FF508B"/>
    <w:multiLevelType w:val="hybridMultilevel"/>
    <w:tmpl w:val="34B696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07FA5"/>
    <w:multiLevelType w:val="hybridMultilevel"/>
    <w:tmpl w:val="84425F28"/>
    <w:lvl w:ilvl="0" w:tplc="C5D4D80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0" w15:restartNumberingAfterBreak="0">
    <w:nsid w:val="7E0E256E"/>
    <w:multiLevelType w:val="hybridMultilevel"/>
    <w:tmpl w:val="4624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8"/>
  </w:num>
  <w:num w:numId="6">
    <w:abstractNumId w:val="0"/>
  </w:num>
  <w:num w:numId="7">
    <w:abstractNumId w:val="7"/>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A5"/>
    <w:rsid w:val="00004F93"/>
    <w:rsid w:val="0000706A"/>
    <w:rsid w:val="00012F97"/>
    <w:rsid w:val="00030CD6"/>
    <w:rsid w:val="00044FD1"/>
    <w:rsid w:val="00071759"/>
    <w:rsid w:val="00080513"/>
    <w:rsid w:val="000914F1"/>
    <w:rsid w:val="000A43FD"/>
    <w:rsid w:val="000B788B"/>
    <w:rsid w:val="000C5A3F"/>
    <w:rsid w:val="000D03D8"/>
    <w:rsid w:val="0010245B"/>
    <w:rsid w:val="00114FBF"/>
    <w:rsid w:val="00116C1D"/>
    <w:rsid w:val="00130A8E"/>
    <w:rsid w:val="0013139A"/>
    <w:rsid w:val="001474CA"/>
    <w:rsid w:val="00152286"/>
    <w:rsid w:val="00162E51"/>
    <w:rsid w:val="00163A39"/>
    <w:rsid w:val="00164FEF"/>
    <w:rsid w:val="001821ED"/>
    <w:rsid w:val="001E2006"/>
    <w:rsid w:val="001E3131"/>
    <w:rsid w:val="001F5543"/>
    <w:rsid w:val="002076FD"/>
    <w:rsid w:val="0022203B"/>
    <w:rsid w:val="00241C75"/>
    <w:rsid w:val="002652B3"/>
    <w:rsid w:val="00271668"/>
    <w:rsid w:val="00285862"/>
    <w:rsid w:val="0029256C"/>
    <w:rsid w:val="00296430"/>
    <w:rsid w:val="002C355C"/>
    <w:rsid w:val="003758A5"/>
    <w:rsid w:val="003D41C3"/>
    <w:rsid w:val="003D430C"/>
    <w:rsid w:val="003E2059"/>
    <w:rsid w:val="00482893"/>
    <w:rsid w:val="00487A5C"/>
    <w:rsid w:val="004A6271"/>
    <w:rsid w:val="00550FB8"/>
    <w:rsid w:val="005C4835"/>
    <w:rsid w:val="005D26CA"/>
    <w:rsid w:val="005D5199"/>
    <w:rsid w:val="005E68EF"/>
    <w:rsid w:val="0060107A"/>
    <w:rsid w:val="006155A9"/>
    <w:rsid w:val="00695556"/>
    <w:rsid w:val="006C5CC7"/>
    <w:rsid w:val="006D42D0"/>
    <w:rsid w:val="006E00C4"/>
    <w:rsid w:val="006F1F3C"/>
    <w:rsid w:val="007101BA"/>
    <w:rsid w:val="007601D1"/>
    <w:rsid w:val="00782DC2"/>
    <w:rsid w:val="007A3932"/>
    <w:rsid w:val="007C4995"/>
    <w:rsid w:val="0080429F"/>
    <w:rsid w:val="00836A7B"/>
    <w:rsid w:val="00854682"/>
    <w:rsid w:val="00863B55"/>
    <w:rsid w:val="00865EB4"/>
    <w:rsid w:val="00887112"/>
    <w:rsid w:val="008B397A"/>
    <w:rsid w:val="008E5B08"/>
    <w:rsid w:val="00934366"/>
    <w:rsid w:val="00960F05"/>
    <w:rsid w:val="00972920"/>
    <w:rsid w:val="009859B8"/>
    <w:rsid w:val="009C507C"/>
    <w:rsid w:val="00A10575"/>
    <w:rsid w:val="00A31D7A"/>
    <w:rsid w:val="00A42115"/>
    <w:rsid w:val="00A422C1"/>
    <w:rsid w:val="00A54AF1"/>
    <w:rsid w:val="00A55DB4"/>
    <w:rsid w:val="00A8024D"/>
    <w:rsid w:val="00AB284A"/>
    <w:rsid w:val="00AC1846"/>
    <w:rsid w:val="00AC1D4B"/>
    <w:rsid w:val="00AE213F"/>
    <w:rsid w:val="00B14705"/>
    <w:rsid w:val="00B211ED"/>
    <w:rsid w:val="00B70809"/>
    <w:rsid w:val="00C30C8F"/>
    <w:rsid w:val="00C36F62"/>
    <w:rsid w:val="00C80CFA"/>
    <w:rsid w:val="00C846D0"/>
    <w:rsid w:val="00CA2B18"/>
    <w:rsid w:val="00CE52C9"/>
    <w:rsid w:val="00CF753E"/>
    <w:rsid w:val="00D06C9F"/>
    <w:rsid w:val="00D37F15"/>
    <w:rsid w:val="00D42C70"/>
    <w:rsid w:val="00D4461E"/>
    <w:rsid w:val="00D62FC2"/>
    <w:rsid w:val="00D90212"/>
    <w:rsid w:val="00DA65AF"/>
    <w:rsid w:val="00DB0451"/>
    <w:rsid w:val="00E050B3"/>
    <w:rsid w:val="00E172BD"/>
    <w:rsid w:val="00E21D34"/>
    <w:rsid w:val="00E76F04"/>
    <w:rsid w:val="00EA6C0A"/>
    <w:rsid w:val="00EC22D9"/>
    <w:rsid w:val="00EE4437"/>
    <w:rsid w:val="00EF3EEA"/>
    <w:rsid w:val="00F444E5"/>
    <w:rsid w:val="00F806C6"/>
    <w:rsid w:val="00FA47F9"/>
    <w:rsid w:val="00FB5D05"/>
    <w:rsid w:val="00FF1333"/>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5506B1"/>
  <w15:chartTrackingRefBased/>
  <w15:docId w15:val="{FC79D94C-7A83-4EF2-9013-9B657568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7A"/>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8A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8A5"/>
    <w:rPr>
      <w:rFonts w:ascii="Tahoma" w:hAnsi="Tahoma" w:cs="Tahoma"/>
      <w:sz w:val="16"/>
      <w:szCs w:val="16"/>
    </w:rPr>
  </w:style>
  <w:style w:type="character" w:styleId="CommentReference">
    <w:name w:val="annotation reference"/>
    <w:semiHidden/>
    <w:rsid w:val="003758A5"/>
    <w:rPr>
      <w:sz w:val="16"/>
      <w:szCs w:val="16"/>
    </w:rPr>
  </w:style>
  <w:style w:type="paragraph" w:styleId="CommentText">
    <w:name w:val="annotation text"/>
    <w:basedOn w:val="Normal"/>
    <w:link w:val="CommentTextChar"/>
    <w:semiHidden/>
    <w:rsid w:val="003758A5"/>
    <w:pPr>
      <w:spacing w:line="240" w:lineRule="auto"/>
    </w:pPr>
    <w:rPr>
      <w:rFonts w:eastAsia="Times New Roman"/>
      <w:sz w:val="20"/>
      <w:szCs w:val="20"/>
      <w:lang w:val="x-none" w:eastAsia="x-none"/>
    </w:rPr>
  </w:style>
  <w:style w:type="character" w:customStyle="1" w:styleId="CommentTextChar">
    <w:name w:val="Comment Text Char"/>
    <w:link w:val="CommentText"/>
    <w:semiHidden/>
    <w:rsid w:val="003758A5"/>
    <w:rPr>
      <w:rFonts w:eastAsia="Times New Roman" w:cs="Times New Roman"/>
      <w:sz w:val="20"/>
      <w:szCs w:val="20"/>
    </w:rPr>
  </w:style>
  <w:style w:type="character" w:styleId="Hyperlink">
    <w:name w:val="Hyperlink"/>
    <w:uiPriority w:val="99"/>
    <w:rsid w:val="003758A5"/>
    <w:rPr>
      <w:color w:val="0000FF"/>
      <w:u w:val="single"/>
    </w:rPr>
  </w:style>
  <w:style w:type="paragraph" w:styleId="ListParagraph">
    <w:name w:val="List Paragraph"/>
    <w:basedOn w:val="Normal"/>
    <w:uiPriority w:val="34"/>
    <w:qFormat/>
    <w:rsid w:val="003758A5"/>
    <w:pPr>
      <w:ind w:left="720"/>
      <w:contextualSpacing/>
    </w:pPr>
  </w:style>
  <w:style w:type="paragraph" w:styleId="CommentSubject">
    <w:name w:val="annotation subject"/>
    <w:basedOn w:val="CommentText"/>
    <w:next w:val="CommentText"/>
    <w:link w:val="CommentSubjectChar"/>
    <w:uiPriority w:val="99"/>
    <w:semiHidden/>
    <w:unhideWhenUsed/>
    <w:rsid w:val="00A54AF1"/>
    <w:pPr>
      <w:spacing w:line="276" w:lineRule="auto"/>
    </w:pPr>
    <w:rPr>
      <w:rFonts w:eastAsia="Calibri"/>
      <w:b/>
      <w:bCs/>
      <w:lang w:val="en-US" w:eastAsia="en-US"/>
    </w:rPr>
  </w:style>
  <w:style w:type="character" w:customStyle="1" w:styleId="CommentSubjectChar">
    <w:name w:val="Comment Subject Char"/>
    <w:link w:val="CommentSubject"/>
    <w:uiPriority w:val="99"/>
    <w:semiHidden/>
    <w:rsid w:val="00A54AF1"/>
    <w:rPr>
      <w:rFonts w:eastAsia="Times New Roman" w:cs="Times New Roman"/>
      <w:b/>
      <w:bCs/>
      <w:sz w:val="20"/>
      <w:szCs w:val="20"/>
    </w:rPr>
  </w:style>
  <w:style w:type="paragraph" w:styleId="Header">
    <w:name w:val="header"/>
    <w:basedOn w:val="Normal"/>
    <w:link w:val="HeaderChar"/>
    <w:uiPriority w:val="99"/>
    <w:unhideWhenUsed/>
    <w:rsid w:val="00972920"/>
    <w:pPr>
      <w:tabs>
        <w:tab w:val="center" w:pos="4680"/>
        <w:tab w:val="right" w:pos="9360"/>
      </w:tabs>
    </w:pPr>
  </w:style>
  <w:style w:type="character" w:customStyle="1" w:styleId="HeaderChar">
    <w:name w:val="Header Char"/>
    <w:link w:val="Header"/>
    <w:uiPriority w:val="99"/>
    <w:rsid w:val="00972920"/>
    <w:rPr>
      <w:sz w:val="24"/>
      <w:szCs w:val="24"/>
    </w:rPr>
  </w:style>
  <w:style w:type="paragraph" w:styleId="Footer">
    <w:name w:val="footer"/>
    <w:basedOn w:val="Normal"/>
    <w:link w:val="FooterChar"/>
    <w:uiPriority w:val="99"/>
    <w:unhideWhenUsed/>
    <w:rsid w:val="00972920"/>
    <w:pPr>
      <w:tabs>
        <w:tab w:val="center" w:pos="4680"/>
        <w:tab w:val="right" w:pos="9360"/>
      </w:tabs>
    </w:pPr>
  </w:style>
  <w:style w:type="character" w:customStyle="1" w:styleId="FooterChar">
    <w:name w:val="Footer Char"/>
    <w:link w:val="Footer"/>
    <w:uiPriority w:val="99"/>
    <w:rsid w:val="00972920"/>
    <w:rPr>
      <w:sz w:val="24"/>
      <w:szCs w:val="24"/>
    </w:rPr>
  </w:style>
  <w:style w:type="character" w:styleId="FollowedHyperlink">
    <w:name w:val="FollowedHyperlink"/>
    <w:uiPriority w:val="99"/>
    <w:semiHidden/>
    <w:unhideWhenUsed/>
    <w:rsid w:val="003E2059"/>
    <w:rPr>
      <w:color w:val="954F72"/>
      <w:u w:val="single"/>
    </w:rPr>
  </w:style>
  <w:style w:type="table" w:styleId="TableGrid">
    <w:name w:val="Table Grid"/>
    <w:basedOn w:val="TableNormal"/>
    <w:uiPriority w:val="59"/>
    <w:rsid w:val="00D06C9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0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hawaii.gov/oeq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eqc.doh.hawaii.gov/Shared%20Documents/Forms/AllItems.aspx?RootFolder=%2fShared%20Documents%2fEA_and_EIS_Online_Librar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C31C-58CF-459A-8291-11E50B1B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5024</Characters>
  <Application>Microsoft Office Word</Application>
  <DocSecurity>0</DocSecurity>
  <Lines>116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Links>
    <vt:vector size="6" baseType="variant">
      <vt:variant>
        <vt:i4>5898311</vt:i4>
      </vt:variant>
      <vt:variant>
        <vt:i4>0</vt:i4>
      </vt:variant>
      <vt:variant>
        <vt:i4>0</vt:i4>
      </vt:variant>
      <vt:variant>
        <vt:i4>5</vt:i4>
      </vt:variant>
      <vt:variant>
        <vt:lpwstr>http://dev.honoluludpp.org/ApplicationsForms/ZoningandLandUsePermits.aspx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Pang</dc:creator>
  <cp:keywords/>
  <cp:lastModifiedBy>Cameron B. Black</cp:lastModifiedBy>
  <cp:revision>2</cp:revision>
  <cp:lastPrinted>2014-05-03T00:52:00Z</cp:lastPrinted>
  <dcterms:created xsi:type="dcterms:W3CDTF">2015-07-18T00:03:00Z</dcterms:created>
  <dcterms:modified xsi:type="dcterms:W3CDTF">2015-07-18T00:03:00Z</dcterms:modified>
</cp:coreProperties>
</file>