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937D" w14:textId="77777777" w:rsidR="00B807AC" w:rsidRDefault="00B807AC" w:rsidP="00290AB1">
      <w:pPr>
        <w:ind w:firstLine="720"/>
        <w:rPr>
          <w:rFonts w:cstheme="minorHAnsi"/>
          <w:sz w:val="28"/>
          <w:szCs w:val="28"/>
        </w:rPr>
      </w:pPr>
    </w:p>
    <w:p w14:paraId="2CE1D7EE" w14:textId="2ED6ED7D" w:rsidR="00701535" w:rsidRPr="00290AB1" w:rsidRDefault="00290AB1" w:rsidP="00822485">
      <w:pPr>
        <w:spacing w:after="0"/>
        <w:ind w:firstLine="720"/>
        <w:rPr>
          <w:rFonts w:cstheme="minorHAnsi"/>
          <w:sz w:val="28"/>
          <w:szCs w:val="28"/>
        </w:rPr>
      </w:pPr>
      <w:r w:rsidRPr="00290AB1">
        <w:rPr>
          <w:rFonts w:cstheme="minorHAnsi"/>
          <w:sz w:val="28"/>
          <w:szCs w:val="28"/>
        </w:rPr>
        <w:t>Lifecycle Greenhouse Gas Emissions Assessment Guidance Document</w:t>
      </w:r>
    </w:p>
    <w:p w14:paraId="25981456" w14:textId="0523654D" w:rsidR="00290AB1" w:rsidRDefault="00290AB1" w:rsidP="00822485">
      <w:pPr>
        <w:spacing w:after="0"/>
        <w:ind w:left="1440" w:firstLine="720"/>
        <w:rPr>
          <w:rFonts w:cstheme="minorHAnsi"/>
          <w:sz w:val="28"/>
          <w:szCs w:val="28"/>
        </w:rPr>
      </w:pPr>
      <w:r w:rsidRPr="00290AB1">
        <w:rPr>
          <w:rFonts w:cstheme="minorHAnsi"/>
          <w:sz w:val="28"/>
          <w:szCs w:val="28"/>
        </w:rPr>
        <w:t>Renewable Fuels Production Tax Credit</w:t>
      </w:r>
    </w:p>
    <w:p w14:paraId="175ACDE9" w14:textId="77777777" w:rsidR="00822485" w:rsidRPr="00290AB1" w:rsidRDefault="00822485" w:rsidP="00822485">
      <w:pPr>
        <w:spacing w:after="0"/>
        <w:ind w:left="1440" w:firstLine="720"/>
        <w:rPr>
          <w:rFonts w:cstheme="minorHAnsi"/>
          <w:sz w:val="28"/>
          <w:szCs w:val="28"/>
        </w:rPr>
      </w:pPr>
    </w:p>
    <w:p w14:paraId="4D7D9FC5" w14:textId="7AA99A1C" w:rsidR="009B2752" w:rsidRPr="00D861F3" w:rsidRDefault="009B2752" w:rsidP="00907309">
      <w:pPr>
        <w:pStyle w:val="Heading2"/>
      </w:pPr>
      <w:r w:rsidRPr="00D861F3">
        <w:t>Background</w:t>
      </w:r>
    </w:p>
    <w:p w14:paraId="70955EBA" w14:textId="0DB85657" w:rsidR="00B416FD" w:rsidRPr="005B2D9F" w:rsidRDefault="00EC77DD" w:rsidP="46A87651">
      <w:r>
        <w:t>In</w:t>
      </w:r>
      <w:r w:rsidR="003B7098">
        <w:t xml:space="preserve"> 2022</w:t>
      </w:r>
      <w:r>
        <w:t xml:space="preserve">, the </w:t>
      </w:r>
      <w:proofErr w:type="gramStart"/>
      <w:r>
        <w:t>Hawai‘</w:t>
      </w:r>
      <w:proofErr w:type="gramEnd"/>
      <w:r>
        <w:t xml:space="preserve">i State Legislature passed Act 216 </w:t>
      </w:r>
      <w:r w:rsidR="00EF2890">
        <w:t>R</w:t>
      </w:r>
      <w:r>
        <w:t xml:space="preserve">elating to </w:t>
      </w:r>
      <w:r w:rsidR="00EF2890">
        <w:t xml:space="preserve">Taxation. The </w:t>
      </w:r>
      <w:r w:rsidR="00E42475">
        <w:t xml:space="preserve">Act reinstates the renewable </w:t>
      </w:r>
      <w:r w:rsidR="00995A79">
        <w:t xml:space="preserve">fuel </w:t>
      </w:r>
      <w:r w:rsidR="00E42475">
        <w:t>production tax credit</w:t>
      </w:r>
      <w:r w:rsidR="00433DF6">
        <w:t xml:space="preserve"> (RFPTC)</w:t>
      </w:r>
      <w:r w:rsidR="006F2CE4">
        <w:t xml:space="preserve">, originally established in 2016 under Act 202 and repealed </w:t>
      </w:r>
      <w:r w:rsidR="00A64CEA">
        <w:t xml:space="preserve">on </w:t>
      </w:r>
      <w:r w:rsidR="006F2CE4">
        <w:t xml:space="preserve">December 31, 2021. </w:t>
      </w:r>
      <w:r w:rsidR="00EA02CF">
        <w:t xml:space="preserve"> </w:t>
      </w:r>
      <w:hyperlink r:id="rId11">
        <w:r w:rsidR="00EA02CF" w:rsidRPr="45F46578">
          <w:rPr>
            <w:rStyle w:val="Hyperlink"/>
          </w:rPr>
          <w:t>Act 216</w:t>
        </w:r>
      </w:hyperlink>
      <w:r w:rsidR="00EA02CF">
        <w:t xml:space="preserve"> amends</w:t>
      </w:r>
      <w:r w:rsidR="00BD6006">
        <w:t xml:space="preserve"> </w:t>
      </w:r>
      <w:proofErr w:type="gramStart"/>
      <w:r w:rsidR="00BD6006">
        <w:t>Hawai‘</w:t>
      </w:r>
      <w:proofErr w:type="gramEnd"/>
      <w:r w:rsidR="00BD6006">
        <w:t xml:space="preserve">i Revised Statutes Chapter 235. </w:t>
      </w:r>
      <w:r w:rsidR="002F2722">
        <w:t>The amended language states that “the tax credit shall only be claimed for fuels with lifecycle emissions below that of fossil fuels”</w:t>
      </w:r>
      <w:r w:rsidR="00433DF6">
        <w:t>. Under the new (RFPTC)</w:t>
      </w:r>
      <w:r w:rsidR="00F8555A">
        <w:t xml:space="preserve"> law</w:t>
      </w:r>
      <w:r w:rsidR="003A17C6">
        <w:t xml:space="preserve"> the </w:t>
      </w:r>
      <w:r w:rsidR="00433DF6">
        <w:t>taxpa</w:t>
      </w:r>
      <w:r w:rsidR="003A17C6">
        <w:t xml:space="preserve">yer is required, at </w:t>
      </w:r>
      <w:r w:rsidR="00F8555A">
        <w:t>its</w:t>
      </w:r>
      <w:r w:rsidR="003A17C6">
        <w:t xml:space="preserve"> sole expense</w:t>
      </w:r>
      <w:r w:rsidR="00163347">
        <w:t>,</w:t>
      </w:r>
      <w:r w:rsidR="003A17C6">
        <w:t xml:space="preserve"> to provide </w:t>
      </w:r>
      <w:r w:rsidR="00B32E06">
        <w:t xml:space="preserve">information to the </w:t>
      </w:r>
      <w:proofErr w:type="gramStart"/>
      <w:r w:rsidR="00B32E06">
        <w:t>Hawai‘</w:t>
      </w:r>
      <w:proofErr w:type="gramEnd"/>
      <w:r w:rsidR="00B32E06">
        <w:t>i State Energy Offi</w:t>
      </w:r>
      <w:r w:rsidR="007624B5">
        <w:t xml:space="preserve">ce on </w:t>
      </w:r>
      <w:r w:rsidR="003B03B4">
        <w:t xml:space="preserve">the feedstock used for each type of qualified fuel and the </w:t>
      </w:r>
      <w:r w:rsidR="009E3598">
        <w:t xml:space="preserve">lifecycle greenhouse gas emissions per British thermal units for each type of qualified fuel produced. </w:t>
      </w:r>
      <w:r w:rsidR="00B32E06">
        <w:t xml:space="preserve"> </w:t>
      </w:r>
    </w:p>
    <w:p w14:paraId="61853745" w14:textId="51328047" w:rsidR="003B7098" w:rsidRPr="005B2D9F" w:rsidRDefault="00B416FD" w:rsidP="00FD60C0">
      <w:r w:rsidRPr="20DA7680">
        <w:t xml:space="preserve">The Act further </w:t>
      </w:r>
      <w:r w:rsidR="003B7098" w:rsidRPr="20DA7680">
        <w:t xml:space="preserve">requires the </w:t>
      </w:r>
      <w:proofErr w:type="gramStart"/>
      <w:r w:rsidR="003B7098" w:rsidRPr="20DA7680">
        <w:t>Hawai‘</w:t>
      </w:r>
      <w:proofErr w:type="gramEnd"/>
      <w:r w:rsidR="003B7098" w:rsidRPr="20DA7680">
        <w:t>i State Energy Office (HSEO)</w:t>
      </w:r>
      <w:r w:rsidR="000D1C35">
        <w:t xml:space="preserve"> to</w:t>
      </w:r>
      <w:r w:rsidR="003B7098" w:rsidRPr="20DA7680">
        <w:t xml:space="preserve"> “</w:t>
      </w:r>
      <w:r w:rsidR="000D1C35">
        <w:t>p</w:t>
      </w:r>
      <w:r w:rsidR="00FD60C0" w:rsidRPr="20DA7680">
        <w:t>rovide the taxpayer with a determination of whether the lifecycle greenhouse gas emissions for each type of qualified fuel produced is lower than that of fossil fuels.</w:t>
      </w:r>
      <w:r w:rsidR="003B7098" w:rsidRPr="20DA7680">
        <w:t>”</w:t>
      </w:r>
    </w:p>
    <w:p w14:paraId="4A7538C6" w14:textId="558455A3" w:rsidR="003B7098" w:rsidRPr="00D861F3" w:rsidRDefault="0046013B" w:rsidP="00907309">
      <w:pPr>
        <w:pStyle w:val="Heading2"/>
      </w:pPr>
      <w:r w:rsidRPr="00D861F3">
        <w:t>HSEO Process</w:t>
      </w:r>
      <w:r w:rsidR="00CC3F12" w:rsidRPr="00D861F3">
        <w:t xml:space="preserve"> and Evaluation</w:t>
      </w:r>
    </w:p>
    <w:p w14:paraId="7FEE0140" w14:textId="6A76141E" w:rsidR="00B70CAA" w:rsidRPr="005B2D9F" w:rsidRDefault="003B7098" w:rsidP="12CBA22E">
      <w:r w:rsidRPr="0D4A423E">
        <w:t>To determine whether the renewable fuels</w:t>
      </w:r>
      <w:r w:rsidR="00E976A1">
        <w:t xml:space="preserve"> (</w:t>
      </w:r>
      <w:r w:rsidR="003573A9">
        <w:t>the production of which forms the ba</w:t>
      </w:r>
      <w:r w:rsidR="000C78DE">
        <w:t>sis for the taxpayer)</w:t>
      </w:r>
      <w:r w:rsidRPr="0D4A423E">
        <w:t xml:space="preserve"> applying for tax credits have lifecycle emissions less than that of fossil fuels, HSEO</w:t>
      </w:r>
      <w:r w:rsidR="00625177">
        <w:t xml:space="preserve"> will</w:t>
      </w:r>
      <w:r w:rsidRPr="0D4A423E">
        <w:t xml:space="preserve"> </w:t>
      </w:r>
      <w:r w:rsidR="74B2BFE4">
        <w:t>determine</w:t>
      </w:r>
      <w:r w:rsidR="009F0000" w:rsidRPr="0D4A423E">
        <w:t xml:space="preserve"> </w:t>
      </w:r>
      <w:r w:rsidRPr="0D4A423E">
        <w:t xml:space="preserve">greenhouse gas intensity values for the </w:t>
      </w:r>
      <w:r w:rsidR="00903AD9" w:rsidRPr="0D4A423E">
        <w:t>f</w:t>
      </w:r>
      <w:r w:rsidR="00137E3B" w:rsidRPr="0D4A423E">
        <w:t>ossil f</w:t>
      </w:r>
      <w:r w:rsidR="00903AD9" w:rsidRPr="0D4A423E">
        <w:t>uel</w:t>
      </w:r>
      <w:r w:rsidR="005310D1" w:rsidRPr="0D4A423E">
        <w:t xml:space="preserve"> </w:t>
      </w:r>
      <w:r w:rsidR="00137E3B" w:rsidRPr="0D4A423E">
        <w:t xml:space="preserve">most likely to </w:t>
      </w:r>
      <w:r w:rsidR="005310D1" w:rsidRPr="0D4A423E">
        <w:t xml:space="preserve">be </w:t>
      </w:r>
      <w:r w:rsidR="00137E3B" w:rsidRPr="0D4A423E">
        <w:t>replace</w:t>
      </w:r>
      <w:r w:rsidR="005310D1" w:rsidRPr="0D4A423E">
        <w:t>d</w:t>
      </w:r>
      <w:r w:rsidR="00B269D8" w:rsidRPr="0D4A423E">
        <w:t xml:space="preserve"> by the renewable fuel seeking tax credit</w:t>
      </w:r>
      <w:r w:rsidR="0087764A" w:rsidRPr="0D4A423E">
        <w:t xml:space="preserve">, as provided by the </w:t>
      </w:r>
      <w:proofErr w:type="gramStart"/>
      <w:r w:rsidR="0087764A" w:rsidRPr="0D4A423E">
        <w:t>taxpayer</w:t>
      </w:r>
      <w:proofErr w:type="gramEnd"/>
      <w:r w:rsidR="0087764A" w:rsidRPr="0D4A423E">
        <w:t xml:space="preserve"> and verified by HSEO</w:t>
      </w:r>
      <w:r w:rsidR="00FE15E6" w:rsidRPr="0D4A423E">
        <w:t xml:space="preserve">. </w:t>
      </w:r>
      <w:r w:rsidR="0087764A" w:rsidRPr="0D4A423E">
        <w:t xml:space="preserve">As an </w:t>
      </w:r>
      <w:r w:rsidR="00903AD9" w:rsidRPr="0D4A423E">
        <w:t xml:space="preserve">example, </w:t>
      </w:r>
      <w:r w:rsidR="00887831" w:rsidRPr="0D4A423E">
        <w:t xml:space="preserve">fuels providing electricity to the grid will be compared to </w:t>
      </w:r>
      <w:r w:rsidR="003B32F9" w:rsidRPr="0D4A423E">
        <w:t xml:space="preserve">the </w:t>
      </w:r>
      <w:r w:rsidRPr="0D4A423E">
        <w:t>dominant fossil fuel supplying each island</w:t>
      </w:r>
      <w:r w:rsidR="00D96A37">
        <w:t>'</w:t>
      </w:r>
      <w:r w:rsidR="003B32F9" w:rsidRPr="0D4A423E">
        <w:t>s power plants, as presented in the</w:t>
      </w:r>
      <w:r w:rsidRPr="0D4A423E">
        <w:t xml:space="preserve"> lifecycle assessment </w:t>
      </w:r>
      <w:r w:rsidR="003B32F9" w:rsidRPr="0D4A423E">
        <w:t>for the</w:t>
      </w:r>
      <w:r w:rsidR="004E325A" w:rsidRPr="0D4A423E">
        <w:t xml:space="preserve"> Par Hawai‘i Fuel Contract, Docke</w:t>
      </w:r>
      <w:r w:rsidR="005B23BF" w:rsidRPr="0D4A423E">
        <w:t>t</w:t>
      </w:r>
      <w:r w:rsidR="004E325A" w:rsidRPr="0D4A423E">
        <w:t xml:space="preserve"> 2020</w:t>
      </w:r>
      <w:r w:rsidR="00083EBD" w:rsidRPr="0D4A423E">
        <w:t>-0090.</w:t>
      </w:r>
      <w:r w:rsidR="005B23BF" w:rsidRPr="0D4A423E">
        <w:rPr>
          <w:rStyle w:val="FootnoteReference"/>
        </w:rPr>
        <w:footnoteReference w:id="2"/>
      </w:r>
      <w:r w:rsidR="00083EBD" w:rsidRPr="0D4A423E">
        <w:t xml:space="preserve"> </w:t>
      </w:r>
      <w:r w:rsidR="002304BB" w:rsidRPr="0D4A423E">
        <w:t xml:space="preserve">Fuels </w:t>
      </w:r>
      <w:r w:rsidR="00C40E13" w:rsidRPr="0D4A423E">
        <w:t xml:space="preserve">intended to replace synthetic natural gas (SNG) will be compared </w:t>
      </w:r>
      <w:r w:rsidR="003A0277">
        <w:t xml:space="preserve">to </w:t>
      </w:r>
      <w:r w:rsidR="00DE5B2C" w:rsidRPr="0D4A423E">
        <w:t xml:space="preserve">emissions from the SNG </w:t>
      </w:r>
      <w:r w:rsidR="00627AA9" w:rsidRPr="0D4A423E">
        <w:t>lifecycle assessment</w:t>
      </w:r>
      <w:r w:rsidR="0087764A" w:rsidRPr="0D4A423E">
        <w:t xml:space="preserve"> of the greenhouse gas lifecycle assessment of the PAR Petroleum feedstock agreement, </w:t>
      </w:r>
      <w:r w:rsidR="00FE15E6" w:rsidRPr="0D4A423E">
        <w:t>submitted in docket 2020-0158.</w:t>
      </w:r>
      <w:r w:rsidR="00FE15E6" w:rsidRPr="0D4A423E">
        <w:rPr>
          <w:rStyle w:val="FootnoteReference"/>
        </w:rPr>
        <w:footnoteReference w:id="3"/>
      </w:r>
      <w:r w:rsidR="00627AA9" w:rsidRPr="0D4A423E">
        <w:t xml:space="preserve"> </w:t>
      </w:r>
      <w:r w:rsidR="00FE15E6" w:rsidRPr="0D4A423E">
        <w:t>The greenhouse gas lifecycle intensity values are expressed as carbon dioxide equivalent per British thermal unit (CO</w:t>
      </w:r>
      <w:r w:rsidR="00FE15E6" w:rsidRPr="0D4A423E">
        <w:rPr>
          <w:vertAlign w:val="subscript"/>
        </w:rPr>
        <w:t>2</w:t>
      </w:r>
      <w:r w:rsidR="00FE15E6" w:rsidRPr="0D4A423E">
        <w:t>e/btu).</w:t>
      </w:r>
      <w:r w:rsidR="0060352C" w:rsidRPr="0D4A423E">
        <w:t xml:space="preserve"> </w:t>
      </w:r>
      <w:hyperlink r:id="rId12">
        <w:r w:rsidR="00E83A27" w:rsidRPr="0D4A423E">
          <w:rPr>
            <w:rStyle w:val="Hyperlink"/>
          </w:rPr>
          <w:t xml:space="preserve">Lifecycle Greenhouse Gas Results </w:t>
        </w:r>
        <w:r w:rsidR="006B1523">
          <w:rPr>
            <w:rStyle w:val="Hyperlink"/>
          </w:rPr>
          <w:t>from the</w:t>
        </w:r>
        <w:r w:rsidR="00E83A27" w:rsidRPr="0D4A423E">
          <w:rPr>
            <w:rStyle w:val="Hyperlink"/>
          </w:rPr>
          <w:t xml:space="preserve"> US EPA</w:t>
        </w:r>
      </w:hyperlink>
      <w:r w:rsidR="00E83A27">
        <w:t xml:space="preserve"> </w:t>
      </w:r>
      <w:r w:rsidR="006B1523">
        <w:t xml:space="preserve">can be viewed </w:t>
      </w:r>
      <w:r w:rsidR="00E83A27">
        <w:t xml:space="preserve">as </w:t>
      </w:r>
      <w:r w:rsidR="007D1752">
        <w:t xml:space="preserve">a </w:t>
      </w:r>
      <w:r w:rsidR="00E83A27">
        <w:t xml:space="preserve">reference for target baselines </w:t>
      </w:r>
      <w:r w:rsidR="54257754">
        <w:t>for various</w:t>
      </w:r>
      <w:r w:rsidR="00E83A27">
        <w:t xml:space="preserve"> fuel types</w:t>
      </w:r>
      <w:r w:rsidR="000F1C0D">
        <w:t xml:space="preserve">. </w:t>
      </w:r>
      <w:r w:rsidR="002E736F">
        <w:t xml:space="preserve">HSEO provides this as a </w:t>
      </w:r>
      <w:r w:rsidR="002E736F" w:rsidRPr="00C74A45">
        <w:rPr>
          <w:b/>
          <w:bCs/>
        </w:rPr>
        <w:t>resource only</w:t>
      </w:r>
      <w:r w:rsidR="002E736F">
        <w:t xml:space="preserve"> to demonstrate the </w:t>
      </w:r>
      <w:r w:rsidR="00647640">
        <w:t xml:space="preserve">variation in lifecycle emissions of </w:t>
      </w:r>
      <w:r w:rsidR="0063031E">
        <w:t>different</w:t>
      </w:r>
      <w:r w:rsidR="007553A1">
        <w:t xml:space="preserve"> fuels</w:t>
      </w:r>
      <w:r w:rsidR="00C74A45">
        <w:t xml:space="preserve">. </w:t>
      </w:r>
      <w:r w:rsidR="007553A1">
        <w:t xml:space="preserve">HSEO will </w:t>
      </w:r>
      <w:r w:rsidR="00C74A45">
        <w:t xml:space="preserve">use </w:t>
      </w:r>
      <w:proofErr w:type="gramStart"/>
      <w:r w:rsidR="00C74A45">
        <w:t>Hawai‘</w:t>
      </w:r>
      <w:proofErr w:type="gramEnd"/>
      <w:r w:rsidR="00C74A45">
        <w:t xml:space="preserve">i specific data </w:t>
      </w:r>
      <w:r w:rsidR="001B28CB">
        <w:t xml:space="preserve">and </w:t>
      </w:r>
      <w:r w:rsidR="00DA08FF">
        <w:t xml:space="preserve">published lifecycle assessments </w:t>
      </w:r>
      <w:r w:rsidR="00C74A45">
        <w:t xml:space="preserve">to determine the greenhouse gas intensity </w:t>
      </w:r>
      <w:r w:rsidR="00DA08FF">
        <w:t>of the fossil fuel</w:t>
      </w:r>
      <w:r w:rsidR="001B467F">
        <w:t xml:space="preserve"> used for comparison. </w:t>
      </w:r>
    </w:p>
    <w:p w14:paraId="72E9153B" w14:textId="4BEE1A63" w:rsidR="00A07B05" w:rsidRPr="005B2D9F" w:rsidRDefault="00034685" w:rsidP="00865FB5">
      <w:pPr>
        <w:rPr>
          <w:rFonts w:cstheme="minorHAnsi"/>
        </w:rPr>
      </w:pPr>
      <w:r>
        <w:rPr>
          <w:rFonts w:cstheme="minorHAnsi"/>
        </w:rPr>
        <w:t>T</w:t>
      </w:r>
      <w:r w:rsidR="00E200E2">
        <w:rPr>
          <w:rFonts w:cstheme="minorHAnsi"/>
        </w:rPr>
        <w:t xml:space="preserve">he </w:t>
      </w:r>
      <w:r w:rsidR="00A07B05" w:rsidRPr="005B2D9F">
        <w:rPr>
          <w:rFonts w:cstheme="minorHAnsi"/>
        </w:rPr>
        <w:t xml:space="preserve">GHG emissions </w:t>
      </w:r>
      <w:r w:rsidR="00A5079B">
        <w:rPr>
          <w:rFonts w:cstheme="minorHAnsi"/>
        </w:rPr>
        <w:t xml:space="preserve">are broken </w:t>
      </w:r>
      <w:r w:rsidR="000C78DE">
        <w:rPr>
          <w:rFonts w:cstheme="minorHAnsi"/>
        </w:rPr>
        <w:t xml:space="preserve">down </w:t>
      </w:r>
      <w:r w:rsidR="00A5079B">
        <w:rPr>
          <w:rFonts w:cstheme="minorHAnsi"/>
        </w:rPr>
        <w:t>into</w:t>
      </w:r>
      <w:r w:rsidR="00865FB5" w:rsidRPr="005B2D9F">
        <w:rPr>
          <w:rFonts w:cstheme="minorHAnsi"/>
        </w:rPr>
        <w:t xml:space="preserve"> stages including u</w:t>
      </w:r>
      <w:r w:rsidR="00A07B05" w:rsidRPr="005B2D9F">
        <w:rPr>
          <w:rFonts w:cstheme="minorHAnsi"/>
        </w:rPr>
        <w:t>pstream (oil production)</w:t>
      </w:r>
      <w:r w:rsidR="005D28A6" w:rsidRPr="005B2D9F">
        <w:rPr>
          <w:rFonts w:cstheme="minorHAnsi"/>
        </w:rPr>
        <w:t xml:space="preserve">, </w:t>
      </w:r>
      <w:r w:rsidR="00865FB5" w:rsidRPr="005B2D9F">
        <w:rPr>
          <w:rFonts w:cstheme="minorHAnsi"/>
        </w:rPr>
        <w:t>m</w:t>
      </w:r>
      <w:r w:rsidR="00A07B05" w:rsidRPr="005B2D9F">
        <w:rPr>
          <w:rFonts w:cstheme="minorHAnsi"/>
        </w:rPr>
        <w:t>idstream (oil refining)</w:t>
      </w:r>
      <w:r w:rsidR="005D28A6" w:rsidRPr="005B2D9F">
        <w:rPr>
          <w:rFonts w:cstheme="minorHAnsi"/>
        </w:rPr>
        <w:t xml:space="preserve">, </w:t>
      </w:r>
      <w:r w:rsidR="00865FB5" w:rsidRPr="005B2D9F">
        <w:rPr>
          <w:rFonts w:cstheme="minorHAnsi"/>
        </w:rPr>
        <w:t>t</w:t>
      </w:r>
      <w:r w:rsidR="00A07B05" w:rsidRPr="005B2D9F">
        <w:rPr>
          <w:rFonts w:cstheme="minorHAnsi"/>
        </w:rPr>
        <w:t>ransportation (</w:t>
      </w:r>
      <w:r w:rsidR="004A596E" w:rsidRPr="005B2D9F">
        <w:rPr>
          <w:rFonts w:cstheme="minorHAnsi"/>
        </w:rPr>
        <w:t>to</w:t>
      </w:r>
      <w:r w:rsidR="000555D2">
        <w:rPr>
          <w:rFonts w:cstheme="minorHAnsi"/>
        </w:rPr>
        <w:t>, within,</w:t>
      </w:r>
      <w:r w:rsidR="004A596E" w:rsidRPr="005B2D9F">
        <w:rPr>
          <w:rFonts w:cstheme="minorHAnsi"/>
        </w:rPr>
        <w:t xml:space="preserve"> and from </w:t>
      </w:r>
      <w:proofErr w:type="gramStart"/>
      <w:r w:rsidR="004A596E" w:rsidRPr="005B2D9F">
        <w:rPr>
          <w:rFonts w:cstheme="minorHAnsi"/>
        </w:rPr>
        <w:t>Hawai‘</w:t>
      </w:r>
      <w:proofErr w:type="gramEnd"/>
      <w:r w:rsidR="004A596E" w:rsidRPr="005B2D9F">
        <w:rPr>
          <w:rFonts w:cstheme="minorHAnsi"/>
        </w:rPr>
        <w:t>i)</w:t>
      </w:r>
      <w:r w:rsidR="00865FB5" w:rsidRPr="005B2D9F">
        <w:rPr>
          <w:rFonts w:cstheme="minorHAnsi"/>
        </w:rPr>
        <w:t>, and o</w:t>
      </w:r>
      <w:r w:rsidR="00A07B05" w:rsidRPr="005B2D9F">
        <w:rPr>
          <w:rFonts w:cstheme="minorHAnsi"/>
        </w:rPr>
        <w:t>perations</w:t>
      </w:r>
      <w:r w:rsidR="004A596E" w:rsidRPr="005B2D9F">
        <w:rPr>
          <w:rFonts w:cstheme="minorHAnsi"/>
        </w:rPr>
        <w:t xml:space="preserve"> (use, or operational emissions)</w:t>
      </w:r>
      <w:r w:rsidR="0046013B" w:rsidRPr="005B2D9F">
        <w:rPr>
          <w:rFonts w:cstheme="minorHAnsi"/>
        </w:rPr>
        <w:t xml:space="preserve">. </w:t>
      </w:r>
      <w:r w:rsidR="00A5079B">
        <w:rPr>
          <w:rFonts w:cstheme="minorHAnsi"/>
        </w:rPr>
        <w:t>To compare emission</w:t>
      </w:r>
      <w:r>
        <w:rPr>
          <w:rFonts w:cstheme="minorHAnsi"/>
        </w:rPr>
        <w:t xml:space="preserve"> intensities</w:t>
      </w:r>
      <w:r w:rsidR="000048FD">
        <w:rPr>
          <w:rFonts w:cstheme="minorHAnsi"/>
        </w:rPr>
        <w:t>,</w:t>
      </w:r>
      <w:r w:rsidR="00A5079B">
        <w:rPr>
          <w:rFonts w:cstheme="minorHAnsi"/>
        </w:rPr>
        <w:t xml:space="preserve"> the same stages shall be used in the </w:t>
      </w:r>
      <w:r>
        <w:rPr>
          <w:rFonts w:cstheme="minorHAnsi"/>
        </w:rPr>
        <w:t>LCA</w:t>
      </w:r>
      <w:r w:rsidR="00A5079B">
        <w:rPr>
          <w:rFonts w:cstheme="minorHAnsi"/>
        </w:rPr>
        <w:t xml:space="preserve"> for </w:t>
      </w:r>
      <w:r>
        <w:rPr>
          <w:rFonts w:cstheme="minorHAnsi"/>
        </w:rPr>
        <w:t xml:space="preserve">renewable fuels, as described below. </w:t>
      </w:r>
    </w:p>
    <w:p w14:paraId="4A41241D" w14:textId="23BD2865" w:rsidR="0008387B" w:rsidRPr="00D861F3" w:rsidRDefault="0008387B" w:rsidP="00907309">
      <w:pPr>
        <w:pStyle w:val="Heading2"/>
      </w:pPr>
      <w:r w:rsidRPr="00D861F3">
        <w:lastRenderedPageBreak/>
        <w:t>Taxpayer Submittal Requirements</w:t>
      </w:r>
    </w:p>
    <w:p w14:paraId="4D8AC7CB" w14:textId="0D12C1DB" w:rsidR="00227BB6" w:rsidRPr="005B2D9F" w:rsidRDefault="00497764" w:rsidP="004A596E">
      <w:pPr>
        <w:rPr>
          <w:rFonts w:cstheme="minorHAnsi"/>
        </w:rPr>
      </w:pPr>
      <w:r w:rsidRPr="005B2D9F">
        <w:rPr>
          <w:rFonts w:cstheme="minorHAnsi"/>
        </w:rPr>
        <w:t>T</w:t>
      </w:r>
      <w:r w:rsidR="00DA3AAB" w:rsidRPr="005B2D9F">
        <w:rPr>
          <w:rFonts w:cstheme="minorHAnsi"/>
        </w:rPr>
        <w:t xml:space="preserve">axpayers seeking credit </w:t>
      </w:r>
      <w:r w:rsidR="00AF53B1" w:rsidRPr="005B2D9F">
        <w:rPr>
          <w:rFonts w:cstheme="minorHAnsi"/>
        </w:rPr>
        <w:t xml:space="preserve">for renewable fuels production shall provide a lifecycle analysis including </w:t>
      </w:r>
      <w:r w:rsidRPr="005B2D9F">
        <w:rPr>
          <w:rFonts w:cstheme="minorHAnsi"/>
        </w:rPr>
        <w:t>lifecycle emissions for each of the</w:t>
      </w:r>
      <w:r w:rsidR="00AF53B1" w:rsidRPr="005B2D9F">
        <w:rPr>
          <w:rFonts w:cstheme="minorHAnsi"/>
        </w:rPr>
        <w:t xml:space="preserve"> </w:t>
      </w:r>
      <w:r w:rsidR="00B245F8" w:rsidRPr="005B2D9F">
        <w:rPr>
          <w:rFonts w:cstheme="minorHAnsi"/>
        </w:rPr>
        <w:t>stages defined below</w:t>
      </w:r>
      <w:r w:rsidR="00E532C3" w:rsidRPr="005B2D9F">
        <w:rPr>
          <w:rFonts w:cstheme="minorHAnsi"/>
        </w:rPr>
        <w:t xml:space="preserve"> for each fuel they are seeking tax credit</w:t>
      </w:r>
      <w:r w:rsidRPr="005B2D9F">
        <w:rPr>
          <w:rFonts w:cstheme="minorHAnsi"/>
        </w:rPr>
        <w:t>. HSEO notes certain stages may not be applicable for certain fuels</w:t>
      </w:r>
      <w:r w:rsidR="00F912D4" w:rsidRPr="005B2D9F">
        <w:rPr>
          <w:rFonts w:cstheme="minorHAnsi"/>
        </w:rPr>
        <w:t xml:space="preserve"> (e.g., waste fuels)</w:t>
      </w:r>
      <w:r w:rsidRPr="005B2D9F">
        <w:rPr>
          <w:rFonts w:cstheme="minorHAnsi"/>
        </w:rPr>
        <w:t xml:space="preserve">. HSEO defines the </w:t>
      </w:r>
      <w:r w:rsidR="00227BB6" w:rsidRPr="005B2D9F">
        <w:rPr>
          <w:rFonts w:cstheme="minorHAnsi"/>
        </w:rPr>
        <w:t>stages of renewable fuel production as follows</w:t>
      </w:r>
      <w:r w:rsidR="00F912D4" w:rsidRPr="005B2D9F">
        <w:rPr>
          <w:rFonts w:cstheme="minorHAnsi"/>
        </w:rPr>
        <w:t>:</w:t>
      </w:r>
    </w:p>
    <w:p w14:paraId="2C1F6695" w14:textId="42B8B7F0" w:rsidR="004A596E" w:rsidRPr="005B2D9F" w:rsidRDefault="00227BB6" w:rsidP="003F1794">
      <w:pPr>
        <w:pStyle w:val="ListParagraph"/>
        <w:numPr>
          <w:ilvl w:val="0"/>
          <w:numId w:val="2"/>
        </w:numPr>
        <w:rPr>
          <w:rFonts w:cstheme="minorHAnsi"/>
          <w:b/>
          <w:bCs/>
        </w:rPr>
      </w:pPr>
      <w:r w:rsidRPr="005B2D9F">
        <w:rPr>
          <w:rFonts w:cstheme="minorHAnsi"/>
          <w:b/>
          <w:bCs/>
        </w:rPr>
        <w:t>Upstream</w:t>
      </w:r>
      <w:r w:rsidR="00E027C8" w:rsidRPr="005B2D9F">
        <w:rPr>
          <w:rFonts w:cstheme="minorHAnsi"/>
          <w:b/>
          <w:bCs/>
        </w:rPr>
        <w:t xml:space="preserve"> emissions</w:t>
      </w:r>
      <w:r w:rsidRPr="005B2D9F">
        <w:rPr>
          <w:rFonts w:cstheme="minorHAnsi"/>
          <w:b/>
          <w:bCs/>
        </w:rPr>
        <w:t xml:space="preserve"> </w:t>
      </w:r>
      <w:r w:rsidRPr="005B2D9F">
        <w:rPr>
          <w:rFonts w:cstheme="minorHAnsi"/>
        </w:rPr>
        <w:t>shall include</w:t>
      </w:r>
      <w:r w:rsidR="003F1794" w:rsidRPr="005B2D9F">
        <w:rPr>
          <w:rFonts w:cstheme="minorHAnsi"/>
        </w:rPr>
        <w:t xml:space="preserve"> </w:t>
      </w:r>
      <w:r w:rsidR="00F52911" w:rsidRPr="005B2D9F">
        <w:rPr>
          <w:rFonts w:cstheme="minorHAnsi"/>
        </w:rPr>
        <w:t>“cradle to farm-gate activities</w:t>
      </w:r>
      <w:r w:rsidR="00787422">
        <w:rPr>
          <w:rFonts w:cstheme="minorHAnsi"/>
        </w:rPr>
        <w:t>.</w:t>
      </w:r>
      <w:r w:rsidR="00F52911" w:rsidRPr="005B2D9F">
        <w:rPr>
          <w:rFonts w:cstheme="minorHAnsi"/>
        </w:rPr>
        <w:t xml:space="preserve">” These include </w:t>
      </w:r>
      <w:r w:rsidR="00B13EFD" w:rsidRPr="005B2D9F">
        <w:rPr>
          <w:rFonts w:cstheme="minorHAnsi"/>
        </w:rPr>
        <w:t>farm input manufacturing emissions</w:t>
      </w:r>
      <w:r w:rsidR="007161D8">
        <w:rPr>
          <w:rFonts w:cstheme="minorHAnsi"/>
        </w:rPr>
        <w:t xml:space="preserve"> including</w:t>
      </w:r>
      <w:r w:rsidR="005767BD">
        <w:rPr>
          <w:rFonts w:cstheme="minorHAnsi"/>
        </w:rPr>
        <w:t xml:space="preserve"> energy requirements for</w:t>
      </w:r>
      <w:r w:rsidR="007161D8">
        <w:rPr>
          <w:rFonts w:cstheme="minorHAnsi"/>
        </w:rPr>
        <w:t xml:space="preserve"> </w:t>
      </w:r>
      <w:r w:rsidR="003478E8">
        <w:rPr>
          <w:rFonts w:cstheme="minorHAnsi"/>
        </w:rPr>
        <w:t>equipment,</w:t>
      </w:r>
      <w:r w:rsidR="007161D8">
        <w:rPr>
          <w:rFonts w:cstheme="minorHAnsi"/>
        </w:rPr>
        <w:t xml:space="preserve"> </w:t>
      </w:r>
      <w:r w:rsidR="00291C47" w:rsidRPr="005B2D9F">
        <w:rPr>
          <w:rFonts w:cstheme="minorHAnsi"/>
        </w:rPr>
        <w:t>emissions from</w:t>
      </w:r>
      <w:r w:rsidRPr="005B2D9F">
        <w:rPr>
          <w:rFonts w:cstheme="minorHAnsi"/>
        </w:rPr>
        <w:t xml:space="preserve"> feedstock production</w:t>
      </w:r>
      <w:r w:rsidR="002A481F" w:rsidRPr="005B2D9F">
        <w:rPr>
          <w:rFonts w:cstheme="minorHAnsi"/>
        </w:rPr>
        <w:t xml:space="preserve"> including </w:t>
      </w:r>
      <w:r w:rsidR="00375313" w:rsidRPr="005B2D9F">
        <w:rPr>
          <w:rFonts w:cstheme="minorHAnsi"/>
        </w:rPr>
        <w:t xml:space="preserve">energy inputs </w:t>
      </w:r>
      <w:r w:rsidR="00A5626E" w:rsidRPr="005B2D9F">
        <w:rPr>
          <w:rFonts w:cstheme="minorHAnsi"/>
        </w:rPr>
        <w:t>for farming activities</w:t>
      </w:r>
      <w:r w:rsidR="00B87208" w:rsidRPr="005B2D9F">
        <w:rPr>
          <w:rFonts w:cstheme="minorHAnsi"/>
        </w:rPr>
        <w:t>,</w:t>
      </w:r>
      <w:r w:rsidR="00A5626E" w:rsidRPr="005B2D9F">
        <w:rPr>
          <w:rFonts w:cstheme="minorHAnsi"/>
        </w:rPr>
        <w:t xml:space="preserve"> raw material inputs</w:t>
      </w:r>
      <w:r w:rsidR="006503E1">
        <w:rPr>
          <w:rFonts w:cstheme="minorHAnsi"/>
        </w:rPr>
        <w:t>,</w:t>
      </w:r>
      <w:r w:rsidR="00B87208" w:rsidRPr="005B2D9F">
        <w:rPr>
          <w:rFonts w:cstheme="minorHAnsi"/>
        </w:rPr>
        <w:t xml:space="preserve"> fertilizer input</w:t>
      </w:r>
      <w:r w:rsidR="00713575" w:rsidRPr="005B2D9F">
        <w:rPr>
          <w:rFonts w:cstheme="minorHAnsi"/>
        </w:rPr>
        <w:t xml:space="preserve">, </w:t>
      </w:r>
      <w:r w:rsidR="00B13EFD" w:rsidRPr="005B2D9F">
        <w:rPr>
          <w:rFonts w:cstheme="minorHAnsi"/>
        </w:rPr>
        <w:t>agro</w:t>
      </w:r>
      <w:r w:rsidR="00713575" w:rsidRPr="005B2D9F">
        <w:rPr>
          <w:rFonts w:cstheme="minorHAnsi"/>
        </w:rPr>
        <w:t>chemical usage</w:t>
      </w:r>
      <w:r w:rsidR="00FD3311" w:rsidRPr="005B2D9F">
        <w:rPr>
          <w:rFonts w:cstheme="minorHAnsi"/>
        </w:rPr>
        <w:t xml:space="preserve">, carbon dioxide emissions from lime/urea application, </w:t>
      </w:r>
      <w:r w:rsidR="006503E1">
        <w:rPr>
          <w:rFonts w:cstheme="minorHAnsi"/>
        </w:rPr>
        <w:t>and</w:t>
      </w:r>
      <w:r w:rsidR="00CB33E4" w:rsidRPr="005B2D9F">
        <w:rPr>
          <w:rFonts w:cstheme="minorHAnsi"/>
        </w:rPr>
        <w:t xml:space="preserve"> nitrous oxide emissions from soils</w:t>
      </w:r>
      <w:r w:rsidR="006503E1">
        <w:rPr>
          <w:rFonts w:cstheme="minorHAnsi"/>
        </w:rPr>
        <w:t>.</w:t>
      </w:r>
    </w:p>
    <w:p w14:paraId="6B02EF1B" w14:textId="2DC73227" w:rsidR="00742609" w:rsidRPr="004A0FBF" w:rsidRDefault="00742609" w:rsidP="0B982FC8">
      <w:pPr>
        <w:pStyle w:val="ListParagraph"/>
        <w:numPr>
          <w:ilvl w:val="1"/>
          <w:numId w:val="2"/>
        </w:numPr>
      </w:pPr>
      <w:r w:rsidRPr="0B982FC8">
        <w:t xml:space="preserve">Waste fuels sourced </w:t>
      </w:r>
      <w:r w:rsidR="00C51C02" w:rsidRPr="0B982FC8">
        <w:t xml:space="preserve">entirely as a by-product of waste materials, or waste gas (e.g., </w:t>
      </w:r>
      <w:r w:rsidR="003053E0" w:rsidRPr="0B982FC8">
        <w:t xml:space="preserve">waste </w:t>
      </w:r>
      <w:r w:rsidR="00C51C02" w:rsidRPr="0B982FC8">
        <w:t xml:space="preserve">cooking </w:t>
      </w:r>
      <w:r w:rsidR="00CB0A5F" w:rsidRPr="0B982FC8">
        <w:t xml:space="preserve">oil </w:t>
      </w:r>
      <w:r w:rsidR="003053E0" w:rsidRPr="0B982FC8">
        <w:t>or</w:t>
      </w:r>
      <w:r w:rsidR="00CB0A5F" w:rsidRPr="0B982FC8">
        <w:t xml:space="preserve"> gas produced from </w:t>
      </w:r>
      <w:r w:rsidR="4BD8D89C" w:rsidRPr="0B982FC8">
        <w:t>byproducts</w:t>
      </w:r>
      <w:r w:rsidR="00CB0A5F" w:rsidRPr="0B982FC8">
        <w:t xml:space="preserve"> of </w:t>
      </w:r>
      <w:r w:rsidR="004A0FBF" w:rsidRPr="0B982FC8">
        <w:t>wastewater treatment)</w:t>
      </w:r>
      <w:r w:rsidR="003053E0" w:rsidRPr="0B982FC8">
        <w:t xml:space="preserve"> </w:t>
      </w:r>
      <w:r w:rsidR="004A0FBF" w:rsidRPr="0B982FC8">
        <w:t xml:space="preserve">may assume a zero value for upstream emissions. </w:t>
      </w:r>
    </w:p>
    <w:p w14:paraId="722C4111" w14:textId="5394471F" w:rsidR="00785474" w:rsidRPr="005B2D9F" w:rsidRDefault="00785474" w:rsidP="003F1794">
      <w:pPr>
        <w:pStyle w:val="ListParagraph"/>
        <w:numPr>
          <w:ilvl w:val="0"/>
          <w:numId w:val="2"/>
        </w:numPr>
        <w:rPr>
          <w:rFonts w:cstheme="minorHAnsi"/>
        </w:rPr>
      </w:pPr>
      <w:r w:rsidRPr="005B2D9F">
        <w:rPr>
          <w:rFonts w:cstheme="minorHAnsi"/>
          <w:b/>
          <w:bCs/>
        </w:rPr>
        <w:t>Midstream</w:t>
      </w:r>
      <w:r w:rsidR="00E027C8" w:rsidRPr="005B2D9F">
        <w:rPr>
          <w:rFonts w:cstheme="minorHAnsi"/>
          <w:b/>
          <w:bCs/>
        </w:rPr>
        <w:t xml:space="preserve"> emissions</w:t>
      </w:r>
      <w:r w:rsidR="00E027C8" w:rsidRPr="005B2D9F">
        <w:rPr>
          <w:rFonts w:cstheme="minorHAnsi"/>
        </w:rPr>
        <w:t xml:space="preserve"> </w:t>
      </w:r>
      <w:r w:rsidR="008F3C73" w:rsidRPr="005B2D9F">
        <w:rPr>
          <w:rFonts w:cstheme="minorHAnsi"/>
        </w:rPr>
        <w:t xml:space="preserve">shall include emissions from </w:t>
      </w:r>
      <w:r w:rsidR="001E1E34" w:rsidRPr="005B2D9F">
        <w:rPr>
          <w:rFonts w:cstheme="minorHAnsi"/>
        </w:rPr>
        <w:t xml:space="preserve">feedstock conversion and </w:t>
      </w:r>
      <w:r w:rsidR="008F3C73" w:rsidRPr="005B2D9F">
        <w:rPr>
          <w:rFonts w:cstheme="minorHAnsi"/>
        </w:rPr>
        <w:t>fuel production</w:t>
      </w:r>
      <w:r w:rsidRPr="005B2D9F">
        <w:rPr>
          <w:rFonts w:cstheme="minorHAnsi"/>
        </w:rPr>
        <w:t xml:space="preserve"> (if applicable)</w:t>
      </w:r>
      <w:r w:rsidR="000F738A">
        <w:rPr>
          <w:rFonts w:cstheme="minorHAnsi"/>
        </w:rPr>
        <w:t>.</w:t>
      </w:r>
    </w:p>
    <w:p w14:paraId="2E1095CC" w14:textId="13EC4E9C" w:rsidR="00785474" w:rsidRPr="005B2D9F" w:rsidRDefault="00785474" w:rsidP="003F1794">
      <w:pPr>
        <w:pStyle w:val="ListParagraph"/>
        <w:numPr>
          <w:ilvl w:val="0"/>
          <w:numId w:val="2"/>
        </w:numPr>
        <w:rPr>
          <w:rFonts w:cstheme="minorHAnsi"/>
        </w:rPr>
      </w:pPr>
      <w:r w:rsidRPr="005B2D9F">
        <w:rPr>
          <w:rFonts w:cstheme="minorHAnsi"/>
          <w:b/>
          <w:bCs/>
        </w:rPr>
        <w:t>Transportation</w:t>
      </w:r>
      <w:r w:rsidR="00C20366" w:rsidRPr="005B2D9F">
        <w:rPr>
          <w:rFonts w:cstheme="minorHAnsi"/>
          <w:b/>
          <w:bCs/>
        </w:rPr>
        <w:t xml:space="preserve"> </w:t>
      </w:r>
      <w:r w:rsidR="00E027C8" w:rsidRPr="005B2D9F">
        <w:rPr>
          <w:rFonts w:cstheme="minorHAnsi"/>
          <w:b/>
          <w:bCs/>
        </w:rPr>
        <w:t xml:space="preserve">emissions </w:t>
      </w:r>
      <w:r w:rsidR="00C20366" w:rsidRPr="005B2D9F">
        <w:rPr>
          <w:rFonts w:cstheme="minorHAnsi"/>
        </w:rPr>
        <w:t xml:space="preserve">include </w:t>
      </w:r>
      <w:r w:rsidR="00F912D4" w:rsidRPr="005B2D9F">
        <w:rPr>
          <w:rFonts w:cstheme="minorHAnsi"/>
        </w:rPr>
        <w:t>transportation to</w:t>
      </w:r>
      <w:r w:rsidR="005E2CA1">
        <w:rPr>
          <w:rFonts w:cstheme="minorHAnsi"/>
        </w:rPr>
        <w:t>, within,</w:t>
      </w:r>
      <w:r w:rsidR="00F912D4" w:rsidRPr="005B2D9F">
        <w:rPr>
          <w:rFonts w:cstheme="minorHAnsi"/>
        </w:rPr>
        <w:t xml:space="preserve"> and from </w:t>
      </w:r>
      <w:proofErr w:type="gramStart"/>
      <w:r w:rsidR="00E027C8" w:rsidRPr="005B2D9F">
        <w:rPr>
          <w:rFonts w:cstheme="minorHAnsi"/>
        </w:rPr>
        <w:t>Hawai‘</w:t>
      </w:r>
      <w:proofErr w:type="gramEnd"/>
      <w:r w:rsidR="00E027C8" w:rsidRPr="005B2D9F">
        <w:rPr>
          <w:rFonts w:cstheme="minorHAnsi"/>
        </w:rPr>
        <w:t>i</w:t>
      </w:r>
      <w:r w:rsidR="000F738A">
        <w:rPr>
          <w:rFonts w:cstheme="minorHAnsi"/>
        </w:rPr>
        <w:t>.</w:t>
      </w:r>
      <w:r w:rsidR="00E027C8" w:rsidRPr="005B2D9F">
        <w:rPr>
          <w:rFonts w:cstheme="minorHAnsi"/>
        </w:rPr>
        <w:t xml:space="preserve"> </w:t>
      </w:r>
    </w:p>
    <w:p w14:paraId="56230F77" w14:textId="06305B98" w:rsidR="003F1794" w:rsidRPr="005B2D9F" w:rsidRDefault="003F1794" w:rsidP="1A5B2148">
      <w:pPr>
        <w:pStyle w:val="ListParagraph"/>
        <w:numPr>
          <w:ilvl w:val="0"/>
          <w:numId w:val="2"/>
        </w:numPr>
      </w:pPr>
      <w:r w:rsidRPr="6A7D2253">
        <w:rPr>
          <w:b/>
          <w:bCs/>
        </w:rPr>
        <w:t>Operation</w:t>
      </w:r>
      <w:r w:rsidR="00E027C8" w:rsidRPr="6A7D2253">
        <w:rPr>
          <w:b/>
          <w:bCs/>
        </w:rPr>
        <w:t xml:space="preserve"> </w:t>
      </w:r>
      <w:r w:rsidR="00742609" w:rsidRPr="6A7D2253">
        <w:rPr>
          <w:b/>
          <w:bCs/>
        </w:rPr>
        <w:t>emissions</w:t>
      </w:r>
      <w:r w:rsidR="0089354A" w:rsidRPr="6A7D2253">
        <w:t xml:space="preserve"> shall include both tailpipe </w:t>
      </w:r>
      <w:r w:rsidR="00C379DA" w:rsidRPr="6A7D2253">
        <w:t xml:space="preserve">(combustion emissions) </w:t>
      </w:r>
      <w:r w:rsidR="0089354A" w:rsidRPr="6A7D2253">
        <w:t>and storage emissions</w:t>
      </w:r>
      <w:r w:rsidR="00DA0CA7">
        <w:t xml:space="preserve"> f</w:t>
      </w:r>
      <w:r w:rsidR="0089354A" w:rsidRPr="6A7D2253">
        <w:t>or</w:t>
      </w:r>
      <w:r w:rsidR="00A7340B" w:rsidRPr="6A7D2253">
        <w:t xml:space="preserve"> fuel producers who sell their </w:t>
      </w:r>
      <w:r w:rsidR="000D6BBC" w:rsidRPr="6A7D2253">
        <w:t>produced fuel to end-users</w:t>
      </w:r>
      <w:r w:rsidR="00C20366" w:rsidRPr="6A7D2253">
        <w:t xml:space="preserve"> – such as </w:t>
      </w:r>
      <w:r w:rsidR="003C6C3A" w:rsidRPr="6A7D2253">
        <w:t xml:space="preserve">biodiesel for use in </w:t>
      </w:r>
      <w:r w:rsidR="00376BDE" w:rsidRPr="6A7D2253">
        <w:t>light, medium,</w:t>
      </w:r>
      <w:r w:rsidR="00820FD4" w:rsidRPr="6A7D2253">
        <w:t xml:space="preserve"> and heavy-</w:t>
      </w:r>
      <w:r w:rsidR="003C6C3A" w:rsidRPr="6A7D2253">
        <w:t>duty vehicles</w:t>
      </w:r>
      <w:r w:rsidR="000F738A">
        <w:t>.</w:t>
      </w:r>
      <w:r w:rsidR="00C756AB" w:rsidRPr="6A7D2253">
        <w:t xml:space="preserve"> </w:t>
      </w:r>
    </w:p>
    <w:p w14:paraId="33CA925D" w14:textId="4DDBD796" w:rsidR="005C1C43" w:rsidRPr="005B2D9F" w:rsidRDefault="001742F7">
      <w:pPr>
        <w:rPr>
          <w:rFonts w:cstheme="minorHAnsi"/>
        </w:rPr>
      </w:pPr>
      <w:r w:rsidRPr="005B2D9F">
        <w:rPr>
          <w:rFonts w:cstheme="minorHAnsi"/>
        </w:rPr>
        <w:t xml:space="preserve">Final lifecycle greenhouse gas emissions values shall be </w:t>
      </w:r>
      <w:r w:rsidR="006D3B59" w:rsidRPr="005B2D9F">
        <w:rPr>
          <w:rFonts w:cstheme="minorHAnsi"/>
        </w:rPr>
        <w:t xml:space="preserve">presented for each of the following stages, expressed </w:t>
      </w:r>
      <w:r w:rsidR="007C59E1" w:rsidRPr="005B2D9F">
        <w:rPr>
          <w:rFonts w:cstheme="minorHAnsi"/>
        </w:rPr>
        <w:t>as CO</w:t>
      </w:r>
      <w:r w:rsidR="007C59E1" w:rsidRPr="005B2D9F">
        <w:rPr>
          <w:rFonts w:cstheme="minorHAnsi"/>
          <w:vertAlign w:val="subscript"/>
        </w:rPr>
        <w:t>2</w:t>
      </w:r>
      <w:r w:rsidR="007C59E1" w:rsidRPr="005B2D9F">
        <w:rPr>
          <w:rFonts w:cstheme="minorHAnsi"/>
        </w:rPr>
        <w:t xml:space="preserve">e/btu. </w:t>
      </w:r>
      <w:r w:rsidR="00D50A07" w:rsidRPr="005B2D9F">
        <w:rPr>
          <w:rFonts w:cstheme="minorHAnsi"/>
        </w:rPr>
        <w:t xml:space="preserve">A total value or summation of all stages shall also be provided. </w:t>
      </w:r>
      <w:r w:rsidR="00D50A07" w:rsidRPr="005B2D9F">
        <w:rPr>
          <w:rFonts w:cstheme="minorHAnsi"/>
        </w:rPr>
        <w:br/>
        <w:t xml:space="preserve">Using this value, HSEO </w:t>
      </w:r>
      <w:r w:rsidR="000F5AE0" w:rsidRPr="005B2D9F">
        <w:rPr>
          <w:rFonts w:cstheme="minorHAnsi"/>
        </w:rPr>
        <w:t xml:space="preserve">will determine </w:t>
      </w:r>
      <w:r w:rsidR="001324C4" w:rsidRPr="005B2D9F">
        <w:rPr>
          <w:rFonts w:cstheme="minorHAnsi"/>
        </w:rPr>
        <w:t>whether</w:t>
      </w:r>
      <w:r w:rsidR="000F5AE0" w:rsidRPr="005B2D9F">
        <w:rPr>
          <w:rFonts w:cstheme="minorHAnsi"/>
        </w:rPr>
        <w:t xml:space="preserve"> the </w:t>
      </w:r>
      <w:r w:rsidR="00A52BCD" w:rsidRPr="005B2D9F">
        <w:rPr>
          <w:rFonts w:cstheme="minorHAnsi"/>
        </w:rPr>
        <w:t>f</w:t>
      </w:r>
      <w:r w:rsidR="00E532C3" w:rsidRPr="005B2D9F">
        <w:rPr>
          <w:rFonts w:cstheme="minorHAnsi"/>
        </w:rPr>
        <w:t xml:space="preserve">uel(s) has lifecycle emissions </w:t>
      </w:r>
      <w:r w:rsidR="005C1C43" w:rsidRPr="005B2D9F">
        <w:rPr>
          <w:rFonts w:cstheme="minorHAnsi"/>
        </w:rPr>
        <w:t>“</w:t>
      </w:r>
      <w:r w:rsidR="00E532C3" w:rsidRPr="005B2D9F">
        <w:rPr>
          <w:rFonts w:cstheme="minorHAnsi"/>
        </w:rPr>
        <w:t>le</w:t>
      </w:r>
      <w:r w:rsidR="005C1C43" w:rsidRPr="005B2D9F">
        <w:rPr>
          <w:rFonts w:cstheme="minorHAnsi"/>
        </w:rPr>
        <w:t>ss than that of fossil fuels</w:t>
      </w:r>
      <w:r w:rsidR="00BA276F">
        <w:rPr>
          <w:rFonts w:cstheme="minorHAnsi"/>
        </w:rPr>
        <w:t>.</w:t>
      </w:r>
      <w:r w:rsidR="005C1C43" w:rsidRPr="005B2D9F">
        <w:rPr>
          <w:rFonts w:cstheme="minorHAnsi"/>
        </w:rPr>
        <w:t xml:space="preserve">” </w:t>
      </w:r>
    </w:p>
    <w:p w14:paraId="44AF5B4F" w14:textId="77777777" w:rsidR="00E347C2" w:rsidRDefault="005901DA" w:rsidP="00E347C2">
      <w:pPr>
        <w:keepNext/>
      </w:pPr>
      <w:r>
        <w:rPr>
          <w:noProof/>
        </w:rPr>
        <w:drawing>
          <wp:inline distT="0" distB="0" distL="0" distR="0" wp14:anchorId="273BA397" wp14:editId="67D9E299">
            <wp:extent cx="6132428" cy="3218213"/>
            <wp:effectExtent l="0" t="0" r="1905" b="1270"/>
            <wp:docPr id="1" name="Picture 1" descr="Figure 1: Example system boundaries to include in lifecycle analysis of biofue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Example system boundaries to include in lifecycle analysis of biofuels. "/>
                    <pic:cNvPicPr/>
                  </pic:nvPicPr>
                  <pic:blipFill>
                    <a:blip r:embed="rId13">
                      <a:extLst>
                        <a:ext uri="{28A0092B-C50C-407E-A947-70E740481C1C}">
                          <a14:useLocalDpi xmlns:a14="http://schemas.microsoft.com/office/drawing/2010/main" val="0"/>
                        </a:ext>
                      </a:extLst>
                    </a:blip>
                    <a:stretch>
                      <a:fillRect/>
                    </a:stretch>
                  </pic:blipFill>
                  <pic:spPr>
                    <a:xfrm>
                      <a:off x="0" y="0"/>
                      <a:ext cx="6132428" cy="3218213"/>
                    </a:xfrm>
                    <a:prstGeom prst="rect">
                      <a:avLst/>
                    </a:prstGeom>
                  </pic:spPr>
                </pic:pic>
              </a:graphicData>
            </a:graphic>
          </wp:inline>
        </w:drawing>
      </w:r>
    </w:p>
    <w:p w14:paraId="6EAD805A" w14:textId="0867FDE5" w:rsidR="00B54A63" w:rsidRDefault="00E347C2" w:rsidP="00E347C2">
      <w:pPr>
        <w:pStyle w:val="Caption"/>
        <w:rPr>
          <w:rFonts w:cstheme="minorHAnsi"/>
          <w:u w:val="single"/>
        </w:rPr>
      </w:pPr>
      <w:r>
        <w:t xml:space="preserve">Figure </w:t>
      </w:r>
      <w:r>
        <w:fldChar w:fldCharType="begin"/>
      </w:r>
      <w:r>
        <w:instrText>SEQ Figure \* ARABIC</w:instrText>
      </w:r>
      <w:r>
        <w:fldChar w:fldCharType="separate"/>
      </w:r>
      <w:r>
        <w:rPr>
          <w:noProof/>
        </w:rPr>
        <w:t>1</w:t>
      </w:r>
      <w:r>
        <w:fldChar w:fldCharType="end"/>
      </w:r>
      <w:r>
        <w:t xml:space="preserve">: Example system boundaries to include in </w:t>
      </w:r>
      <w:r w:rsidR="004632EC">
        <w:t xml:space="preserve">the </w:t>
      </w:r>
      <w:r>
        <w:t>lifecycle analysis of biofuels.</w:t>
      </w:r>
      <w:r w:rsidR="0074162E">
        <w:t xml:space="preserve"> Source: </w:t>
      </w:r>
      <w:r w:rsidR="00BB4C8A">
        <w:t>Liu</w:t>
      </w:r>
      <w:r w:rsidR="004400C5">
        <w:t xml:space="preserve">, Kwon, Wang. 2021. </w:t>
      </w:r>
      <w:r w:rsidR="00794DB7">
        <w:t xml:space="preserve">Argonne National Laboratory, </w:t>
      </w:r>
      <w:r w:rsidR="00F05ADA">
        <w:t xml:space="preserve">Energy Systems Division </w:t>
      </w:r>
      <w:r w:rsidR="00794DB7">
        <w:t xml:space="preserve">Feedstock Carbon Intensity </w:t>
      </w:r>
      <w:r w:rsidR="00F05ADA">
        <w:t>Calculator, Technical Guidance Document</w:t>
      </w:r>
      <w:r w:rsidR="00BB4C8A">
        <w:t xml:space="preserve">. </w:t>
      </w:r>
    </w:p>
    <w:p w14:paraId="562907D9" w14:textId="42E2E871" w:rsidR="002A314E" w:rsidRPr="00F2128C" w:rsidRDefault="002A314E" w:rsidP="002A314E">
      <w:r w:rsidRPr="00F2128C">
        <w:t xml:space="preserve">In accordance with EPA guidelines, </w:t>
      </w:r>
      <w:r w:rsidR="00F01A5E" w:rsidRPr="00F2128C">
        <w:t>the lifecycle assessment of fuel production should not include activities that are unrelated to the fuel lifecycle (e.g., offset projects) or emissions associated with physical and organizational infrastructure (e.g., facility construction, employees commuting to the facility).</w:t>
      </w:r>
    </w:p>
    <w:p w14:paraId="3BAD57ED" w14:textId="032EDBEA" w:rsidR="00163347" w:rsidRPr="00E71D22" w:rsidRDefault="00AB47CA" w:rsidP="002A314E">
      <w:r>
        <w:t>Within the</w:t>
      </w:r>
      <w:r w:rsidR="003C4441">
        <w:t xml:space="preserve"> required</w:t>
      </w:r>
      <w:r w:rsidR="0010615B">
        <w:t xml:space="preserve"> Independent </w:t>
      </w:r>
      <w:r w:rsidR="00491B6C">
        <w:t>Third-Party</w:t>
      </w:r>
      <w:r w:rsidR="0010615B">
        <w:t xml:space="preserve"> Certification</w:t>
      </w:r>
      <w:r w:rsidR="00C14233">
        <w:t xml:space="preserve"> Statement</w:t>
      </w:r>
      <w:r>
        <w:t xml:space="preserve"> </w:t>
      </w:r>
      <w:r w:rsidR="00C14233">
        <w:t>(</w:t>
      </w:r>
      <w:r>
        <w:t>ITPCS</w:t>
      </w:r>
      <w:r w:rsidR="00C14233">
        <w:t>)</w:t>
      </w:r>
      <w:r>
        <w:t xml:space="preserve">, the taxpayer </w:t>
      </w:r>
      <w:r w:rsidR="00A07D51">
        <w:t>shall</w:t>
      </w:r>
      <w:r>
        <w:t xml:space="preserve"> identify the fossil fuel most likely to be replaced by the renewable fuel that </w:t>
      </w:r>
      <w:r w:rsidR="00001F77">
        <w:t>its</w:t>
      </w:r>
      <w:r w:rsidR="002A314E">
        <w:t xml:space="preserve"> producing. </w:t>
      </w:r>
      <w:r w:rsidR="00F43B25">
        <w:t>T</w:t>
      </w:r>
      <w:r w:rsidR="00001F77">
        <w:t>axpayer</w:t>
      </w:r>
      <w:r w:rsidR="00F43B25">
        <w:t xml:space="preserve"> </w:t>
      </w:r>
      <w:r w:rsidR="2775291C">
        <w:t>shall</w:t>
      </w:r>
      <w:r w:rsidR="00F43B25">
        <w:t xml:space="preserve"> also identify the </w:t>
      </w:r>
      <w:r w:rsidR="005F3F0B">
        <w:t xml:space="preserve">anticipated end use for the fuel. </w:t>
      </w:r>
    </w:p>
    <w:p w14:paraId="1AB4988E" w14:textId="148D3662" w:rsidR="004B550F" w:rsidRPr="00D861F3" w:rsidRDefault="004B550F" w:rsidP="00907309">
      <w:pPr>
        <w:pStyle w:val="Heading2"/>
      </w:pPr>
      <w:r w:rsidRPr="00D861F3">
        <w:t>Acceptable Sources</w:t>
      </w:r>
    </w:p>
    <w:p w14:paraId="0AB58619" w14:textId="6DEB3F64" w:rsidR="00472913" w:rsidRDefault="00631376" w:rsidP="00631376">
      <w:r w:rsidRPr="006C23BF">
        <w:t xml:space="preserve">HSEO recommends using the GREET 2021 model </w:t>
      </w:r>
      <w:r w:rsidR="00FF5A1C">
        <w:t xml:space="preserve">available from Argonne National Laboratory </w:t>
      </w:r>
      <w:r w:rsidR="00EA7426">
        <w:t xml:space="preserve">when </w:t>
      </w:r>
      <w:r w:rsidRPr="006C23BF">
        <w:t>conducting the LCA</w:t>
      </w:r>
      <w:r w:rsidR="003C5D25">
        <w:t>, for upstream, mi</w:t>
      </w:r>
      <w:r w:rsidR="00C72F1C">
        <w:t>d</w:t>
      </w:r>
      <w:r w:rsidR="003C5D25">
        <w:t>stream, and transportation emissions</w:t>
      </w:r>
      <w:r w:rsidR="006C23BF">
        <w:t>.</w:t>
      </w:r>
      <w:r w:rsidR="006C23BF" w:rsidRPr="006C23BF">
        <w:rPr>
          <w:rStyle w:val="FootnoteReference"/>
        </w:rPr>
        <w:footnoteReference w:id="4"/>
      </w:r>
      <w:r w:rsidR="00EA7426">
        <w:t xml:space="preserve"> </w:t>
      </w:r>
      <w:r w:rsidR="00202443">
        <w:t>The G</w:t>
      </w:r>
      <w:r w:rsidR="00D204F4">
        <w:t>REET 2021</w:t>
      </w:r>
      <w:r w:rsidR="00202443">
        <w:t xml:space="preserve"> model is </w:t>
      </w:r>
      <w:r w:rsidR="00D862B9">
        <w:t>a</w:t>
      </w:r>
      <w:r w:rsidR="007E73FA">
        <w:t xml:space="preserve"> </w:t>
      </w:r>
      <w:r w:rsidR="00D862B9">
        <w:t>universally</w:t>
      </w:r>
      <w:r w:rsidR="007E73FA">
        <w:t xml:space="preserve"> used and accepted standard</w:t>
      </w:r>
      <w:r w:rsidR="0063031E">
        <w:t xml:space="preserve"> nationally</w:t>
      </w:r>
      <w:r w:rsidR="00DD6329">
        <w:t>,</w:t>
      </w:r>
      <w:r w:rsidR="007E73FA">
        <w:t xml:space="preserve"> </w:t>
      </w:r>
      <w:r w:rsidR="00960880">
        <w:t xml:space="preserve">and </w:t>
      </w:r>
      <w:r w:rsidR="00A04BE2">
        <w:t>among</w:t>
      </w:r>
      <w:r w:rsidR="00CC1DBE">
        <w:t xml:space="preserve"> many states </w:t>
      </w:r>
      <w:r w:rsidR="00960880">
        <w:t>for</w:t>
      </w:r>
      <w:r w:rsidR="00D37401">
        <w:t xml:space="preserve"> conducting </w:t>
      </w:r>
      <w:r w:rsidR="008C03BB">
        <w:t xml:space="preserve">emissions </w:t>
      </w:r>
      <w:r w:rsidR="00D0196F">
        <w:t>calculations</w:t>
      </w:r>
      <w:r w:rsidR="00933DCF">
        <w:t>.</w:t>
      </w:r>
      <w:r w:rsidR="00A04BE2">
        <w:t xml:space="preserve"> </w:t>
      </w:r>
      <w:r w:rsidR="00472913">
        <w:t xml:space="preserve">Other models that may be appropriate include </w:t>
      </w:r>
      <w:r w:rsidR="009222A8">
        <w:t xml:space="preserve">the </w:t>
      </w:r>
      <w:r w:rsidR="00BF3D6B">
        <w:t>Feedstock Carbon Intensity Calculator</w:t>
      </w:r>
      <w:r w:rsidR="00336B81">
        <w:t xml:space="preserve"> (FD-CIC) tool</w:t>
      </w:r>
      <w:r w:rsidR="0079557A">
        <w:t>, which is included in the 2021 GREET model</w:t>
      </w:r>
      <w:r w:rsidR="00BF3D6B">
        <w:t xml:space="preserve">. </w:t>
      </w:r>
      <w:r w:rsidR="0079557A">
        <w:t xml:space="preserve">Taxpayers can contact the </w:t>
      </w:r>
      <w:proofErr w:type="gramStart"/>
      <w:r w:rsidR="0079557A">
        <w:t>Hawai‘</w:t>
      </w:r>
      <w:proofErr w:type="gramEnd"/>
      <w:r w:rsidR="0079557A">
        <w:t xml:space="preserve">i State Energy office regarding the acceptability of the chosen model. </w:t>
      </w:r>
    </w:p>
    <w:p w14:paraId="35F66603" w14:textId="21AC6302" w:rsidR="00472913" w:rsidRDefault="00EA7426" w:rsidP="00631376">
      <w:r>
        <w:t xml:space="preserve">EPA Emission Factors for Greenhouse Gas </w:t>
      </w:r>
      <w:r w:rsidR="005E1FFE">
        <w:t xml:space="preserve">Inventories </w:t>
      </w:r>
      <w:r w:rsidR="00AA406F">
        <w:t>(40 CFR Part 98)</w:t>
      </w:r>
      <w:r w:rsidR="00031F80">
        <w:t xml:space="preserve"> </w:t>
      </w:r>
      <w:r w:rsidR="009E503C">
        <w:t>should</w:t>
      </w:r>
      <w:r w:rsidR="00031F80">
        <w:t xml:space="preserve"> be used in the </w:t>
      </w:r>
      <w:r w:rsidR="000B5DFB">
        <w:t>chosen model as appropriate</w:t>
      </w:r>
      <w:r w:rsidR="00995EB9">
        <w:t xml:space="preserve">. </w:t>
      </w:r>
      <w:r w:rsidR="009E503C">
        <w:t>The EPA</w:t>
      </w:r>
      <w:r w:rsidR="00461CDB">
        <w:t>’s Emission Factors are</w:t>
      </w:r>
      <w:r w:rsidR="002543CA">
        <w:t xml:space="preserve"> widely </w:t>
      </w:r>
      <w:r w:rsidR="006A2963">
        <w:t>recognized</w:t>
      </w:r>
      <w:r w:rsidR="00B005A0">
        <w:t xml:space="preserve"> </w:t>
      </w:r>
      <w:r w:rsidR="00E8713D">
        <w:t xml:space="preserve">as </w:t>
      </w:r>
      <w:r w:rsidR="00664EA5">
        <w:t>an</w:t>
      </w:r>
      <w:r w:rsidR="00E8713D">
        <w:t xml:space="preserve"> </w:t>
      </w:r>
      <w:r w:rsidR="006A2963">
        <w:t>acceptable</w:t>
      </w:r>
      <w:r w:rsidR="00E8713D">
        <w:t xml:space="preserve"> </w:t>
      </w:r>
      <w:r w:rsidR="006A2963">
        <w:t>resource</w:t>
      </w:r>
      <w:r w:rsidR="00B11E7B">
        <w:t xml:space="preserve"> that is aligned with federal </w:t>
      </w:r>
      <w:r w:rsidR="00C31266">
        <w:t>standards</w:t>
      </w:r>
      <w:r w:rsidR="00784CA3">
        <w:t xml:space="preserve"> and practices used in other states</w:t>
      </w:r>
      <w:r w:rsidR="00C31266">
        <w:t>.</w:t>
      </w:r>
      <w:r w:rsidR="00E8713D">
        <w:t xml:space="preserve"> </w:t>
      </w:r>
      <w:r w:rsidR="000B5DFB">
        <w:t xml:space="preserve">A list of Emissions Factors is available </w:t>
      </w:r>
      <w:r w:rsidR="009B5EC7">
        <w:t xml:space="preserve">from the </w:t>
      </w:r>
      <w:hyperlink r:id="rId14" w:history="1">
        <w:r w:rsidR="009B5EC7" w:rsidRPr="00660B55">
          <w:rPr>
            <w:rStyle w:val="Hyperlink"/>
          </w:rPr>
          <w:t xml:space="preserve">EPA’s GHG Emission Factors </w:t>
        </w:r>
        <w:r w:rsidR="00660B55" w:rsidRPr="00660B55">
          <w:rPr>
            <w:rStyle w:val="Hyperlink"/>
          </w:rPr>
          <w:t>Hub</w:t>
        </w:r>
      </w:hyperlink>
      <w:r w:rsidR="00F0380E">
        <w:rPr>
          <w:rStyle w:val="Hyperlink"/>
        </w:rPr>
        <w:t>.</w:t>
      </w:r>
      <w:r w:rsidR="00660B55">
        <w:t xml:space="preserve"> </w:t>
      </w:r>
      <w:r w:rsidR="00084BA2">
        <w:t xml:space="preserve">HSEO requests that these factors be used to determine GHG lifecycle intensity </w:t>
      </w:r>
      <w:r w:rsidR="00EF4A92">
        <w:t xml:space="preserve">to </w:t>
      </w:r>
      <w:r w:rsidR="00084BA2">
        <w:t>be consistent with federal guidelines, and the practices of other states.</w:t>
      </w:r>
      <w:r w:rsidR="00141955">
        <w:rPr>
          <w:rStyle w:val="FootnoteReference"/>
        </w:rPr>
        <w:footnoteReference w:id="5"/>
      </w:r>
      <w:r w:rsidR="00B93D1A" w:rsidRPr="00B93D1A">
        <w:rPr>
          <w:vertAlign w:val="superscript"/>
        </w:rPr>
        <w:t>,</w:t>
      </w:r>
      <w:r w:rsidR="00084BA2">
        <w:t xml:space="preserve"> </w:t>
      </w:r>
      <w:r w:rsidR="00105D77">
        <w:rPr>
          <w:rStyle w:val="FootnoteReference"/>
        </w:rPr>
        <w:footnoteReference w:id="6"/>
      </w:r>
      <w:r w:rsidR="00B93D1A">
        <w:t xml:space="preserve"> </w:t>
      </w:r>
    </w:p>
    <w:p w14:paraId="3B55475D" w14:textId="70104261" w:rsidR="000903F5" w:rsidRDefault="00472913" w:rsidP="000903F5">
      <w:pPr>
        <w:rPr>
          <w:rFonts w:cstheme="minorHAnsi"/>
        </w:rPr>
      </w:pPr>
      <w:r>
        <w:t>Please note</w:t>
      </w:r>
      <w:r w:rsidR="00BD565A">
        <w:t xml:space="preserve"> that,</w:t>
      </w:r>
      <w:r>
        <w:t xml:space="preserve"> the LCA </w:t>
      </w:r>
      <w:r w:rsidR="004B45EA">
        <w:t>will</w:t>
      </w:r>
      <w:r>
        <w:t xml:space="preserve"> be completed by an independent third-party qualified to conduct lifecycle analysis.  </w:t>
      </w:r>
      <w:r w:rsidR="000903F5" w:rsidRPr="005B2D9F">
        <w:rPr>
          <w:rFonts w:cstheme="minorHAnsi"/>
        </w:rPr>
        <w:t>HSEO requ</w:t>
      </w:r>
      <w:r w:rsidR="000903F5">
        <w:rPr>
          <w:rFonts w:cstheme="minorHAnsi"/>
        </w:rPr>
        <w:t>ires</w:t>
      </w:r>
      <w:r w:rsidR="000903F5" w:rsidRPr="005B2D9F">
        <w:rPr>
          <w:rFonts w:cstheme="minorHAnsi"/>
        </w:rPr>
        <w:t xml:space="preserve"> the calculation</w:t>
      </w:r>
      <w:r w:rsidR="00084BA2">
        <w:rPr>
          <w:rFonts w:cstheme="minorHAnsi"/>
        </w:rPr>
        <w:t xml:space="preserve">s, models, and/or </w:t>
      </w:r>
      <w:r w:rsidR="000903F5" w:rsidRPr="005B2D9F">
        <w:rPr>
          <w:rFonts w:cstheme="minorHAnsi"/>
        </w:rPr>
        <w:t>spreadsheet</w:t>
      </w:r>
      <w:r w:rsidR="00084BA2">
        <w:rPr>
          <w:rFonts w:cstheme="minorHAnsi"/>
        </w:rPr>
        <w:t xml:space="preserve">s (with formulas included as applicable) </w:t>
      </w:r>
      <w:r w:rsidR="000903F5" w:rsidRPr="005B2D9F">
        <w:rPr>
          <w:rFonts w:cstheme="minorHAnsi"/>
        </w:rPr>
        <w:t>used to complete the LCA</w:t>
      </w:r>
      <w:r w:rsidR="001F3834">
        <w:rPr>
          <w:rFonts w:cstheme="minorHAnsi"/>
        </w:rPr>
        <w:t>.</w:t>
      </w:r>
      <w:r w:rsidR="00EF4A92">
        <w:rPr>
          <w:rFonts w:cstheme="minorHAnsi"/>
        </w:rPr>
        <w:t xml:space="preserve"> </w:t>
      </w:r>
    </w:p>
    <w:p w14:paraId="633BDA4A" w14:textId="519F8C3B" w:rsidR="00631376" w:rsidRDefault="00631376" w:rsidP="00631376"/>
    <w:p w14:paraId="2DE08B64" w14:textId="79F691AE" w:rsidR="002E0E7F" w:rsidRPr="00D861F3" w:rsidRDefault="00E71D22" w:rsidP="00907309">
      <w:pPr>
        <w:pStyle w:val="Heading2"/>
      </w:pPr>
      <w:r w:rsidRPr="00D861F3">
        <w:t>Disclaimer</w:t>
      </w:r>
    </w:p>
    <w:p w14:paraId="7188BA08" w14:textId="4F9D42E8" w:rsidR="003B7098" w:rsidRPr="005B2D9F" w:rsidRDefault="003B7098" w:rsidP="776F395C">
      <w:r w:rsidRPr="776F395C">
        <w:t>HSEO reserves the right to update the</w:t>
      </w:r>
      <w:r w:rsidR="5D4740DF" w:rsidRPr="776F395C">
        <w:t xml:space="preserve"> comparative fossil fuel </w:t>
      </w:r>
      <w:r w:rsidRPr="776F395C">
        <w:t xml:space="preserve">values </w:t>
      </w:r>
      <w:r w:rsidR="348A4FA6" w:rsidRPr="776F395C">
        <w:t xml:space="preserve">to follow </w:t>
      </w:r>
      <w:r w:rsidR="76D486E6" w:rsidRPr="776F395C">
        <w:t>inform</w:t>
      </w:r>
      <w:r w:rsidR="61AE7F0D" w:rsidRPr="776F395C">
        <w:t>ation updated in the previous year</w:t>
      </w:r>
      <w:r w:rsidR="2BCF42CD" w:rsidRPr="776F395C">
        <w:t xml:space="preserve"> or years</w:t>
      </w:r>
      <w:r w:rsidRPr="776F395C">
        <w:t>. HSEO obtained Life</w:t>
      </w:r>
      <w:r w:rsidR="002E5B62" w:rsidRPr="776F395C">
        <w:t>c</w:t>
      </w:r>
      <w:r w:rsidRPr="776F395C">
        <w:t xml:space="preserve">ycle Assessment (LCA) Values from </w:t>
      </w:r>
      <w:r w:rsidR="00A71198">
        <w:t>d</w:t>
      </w:r>
      <w:r w:rsidR="009C1756" w:rsidRPr="776F395C">
        <w:t xml:space="preserve">ockets active or closed at the </w:t>
      </w:r>
      <w:r w:rsidRPr="776F395C">
        <w:t>Public Utilities Commission</w:t>
      </w:r>
      <w:r w:rsidR="009C1756" w:rsidRPr="776F395C">
        <w:t>.</w:t>
      </w:r>
    </w:p>
    <w:p w14:paraId="0CC80698" w14:textId="3EE88999" w:rsidR="008E6E83" w:rsidRPr="008E6E83" w:rsidRDefault="008E6E83" w:rsidP="008E6E83">
      <w:pPr>
        <w:rPr>
          <w:rFonts w:cstheme="minorHAnsi"/>
        </w:rPr>
      </w:pPr>
      <w:r w:rsidRPr="008E6E83">
        <w:rPr>
          <w:rFonts w:cstheme="minorHAnsi"/>
        </w:rPr>
        <w:t>Assessment of fuel production will not include activities that are unrelated to the fuel lifecycle (e.g., offset projects)</w:t>
      </w:r>
      <w:r w:rsidR="00E71D22">
        <w:rPr>
          <w:rFonts w:cstheme="minorHAnsi"/>
        </w:rPr>
        <w:t>.</w:t>
      </w:r>
      <w:r w:rsidR="002B18F1">
        <w:rPr>
          <w:rStyle w:val="FootnoteReference"/>
          <w:rFonts w:cstheme="minorHAnsi"/>
        </w:rPr>
        <w:footnoteReference w:id="7"/>
      </w:r>
    </w:p>
    <w:p w14:paraId="3F7EADD4" w14:textId="06E570C0" w:rsidR="008E6E83" w:rsidRPr="005B2D9F" w:rsidRDefault="00945838">
      <w:pPr>
        <w:rPr>
          <w:rFonts w:cstheme="minorHAnsi"/>
        </w:rPr>
      </w:pPr>
      <w:r w:rsidRPr="00945838">
        <w:rPr>
          <w:rFonts w:cstheme="minorHAnsi"/>
        </w:rPr>
        <w:t>If proprietary software is used to determine lifecycle greenhouse gas emissions, the applicant and/or independent third</w:t>
      </w:r>
      <w:r w:rsidR="00041956">
        <w:rPr>
          <w:rFonts w:cstheme="minorHAnsi"/>
        </w:rPr>
        <w:t>-</w:t>
      </w:r>
      <w:r w:rsidRPr="00945838">
        <w:rPr>
          <w:rFonts w:cstheme="minorHAnsi"/>
        </w:rPr>
        <w:t>party certifier must</w:t>
      </w:r>
      <w:r w:rsidR="00851019" w:rsidRPr="00945838">
        <w:rPr>
          <w:rFonts w:cstheme="minorHAnsi"/>
        </w:rPr>
        <w:t xml:space="preserve"> be able to demonstrate the </w:t>
      </w:r>
      <w:r w:rsidR="001062F9" w:rsidRPr="00945838">
        <w:rPr>
          <w:rFonts w:cstheme="minorHAnsi"/>
        </w:rPr>
        <w:t>data inputs,</w:t>
      </w:r>
      <w:r w:rsidRPr="00945838">
        <w:rPr>
          <w:rFonts w:cstheme="minorHAnsi"/>
        </w:rPr>
        <w:t xml:space="preserve"> assumptions,</w:t>
      </w:r>
      <w:r w:rsidR="001062F9" w:rsidRPr="00945838">
        <w:rPr>
          <w:rFonts w:cstheme="minorHAnsi"/>
        </w:rPr>
        <w:t xml:space="preserve"> methodology, and </w:t>
      </w:r>
      <w:r w:rsidR="00851019" w:rsidRPr="00945838">
        <w:rPr>
          <w:rFonts w:cstheme="minorHAnsi"/>
        </w:rPr>
        <w:t>calculations</w:t>
      </w:r>
      <w:r w:rsidR="001062F9" w:rsidRPr="00945838">
        <w:rPr>
          <w:rFonts w:cstheme="minorHAnsi"/>
        </w:rPr>
        <w:t xml:space="preserve"> used to determine GHG emissions at each lifecycle stage.</w:t>
      </w:r>
      <w:r w:rsidR="001E7D9A">
        <w:rPr>
          <w:rFonts w:cstheme="minorHAnsi"/>
        </w:rPr>
        <w:t xml:space="preserve"> </w:t>
      </w:r>
    </w:p>
    <w:sectPr w:rsidR="008E6E83" w:rsidRPr="005B2D9F" w:rsidSect="00575207">
      <w:headerReference w:type="default" r:id="rId15"/>
      <w:footerReference w:type="default" r:id="rId16"/>
      <w:headerReference w:type="first" r:id="rId17"/>
      <w:footerReference w:type="first" r:id="rId18"/>
      <w:pgSz w:w="12240" w:h="15840"/>
      <w:pgMar w:top="1440" w:right="1296" w:bottom="1440" w:left="129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39FF" w14:textId="77777777" w:rsidR="00E76283" w:rsidRDefault="00E76283" w:rsidP="005B23BF">
      <w:pPr>
        <w:spacing w:after="0" w:line="240" w:lineRule="auto"/>
      </w:pPr>
      <w:r>
        <w:separator/>
      </w:r>
    </w:p>
  </w:endnote>
  <w:endnote w:type="continuationSeparator" w:id="0">
    <w:p w14:paraId="5FD31D14" w14:textId="77777777" w:rsidR="00E76283" w:rsidRDefault="00E76283" w:rsidP="005B23BF">
      <w:pPr>
        <w:spacing w:after="0" w:line="240" w:lineRule="auto"/>
      </w:pPr>
      <w:r>
        <w:continuationSeparator/>
      </w:r>
    </w:p>
  </w:endnote>
  <w:endnote w:type="continuationNotice" w:id="1">
    <w:p w14:paraId="0B1B9EF8" w14:textId="77777777" w:rsidR="00E76283" w:rsidRDefault="00E76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88331"/>
      <w:docPartObj>
        <w:docPartGallery w:val="Page Numbers (Bottom of Page)"/>
        <w:docPartUnique/>
      </w:docPartObj>
    </w:sdtPr>
    <w:sdtEndPr>
      <w:rPr>
        <w:noProof/>
      </w:rPr>
    </w:sdtEndPr>
    <w:sdtContent>
      <w:p w14:paraId="2D05513C" w14:textId="090A52FF" w:rsidR="00575207" w:rsidRPr="00575207" w:rsidRDefault="00575207" w:rsidP="00575207">
        <w:pPr>
          <w:pStyle w:val="Footer"/>
          <w:tabs>
            <w:tab w:val="clear" w:pos="4680"/>
          </w:tabs>
          <w:rPr>
            <w:i/>
            <w:iCs/>
            <w:noProof/>
            <w:sz w:val="18"/>
            <w:szCs w:val="18"/>
          </w:rPr>
        </w:pPr>
        <w:r>
          <w:fldChar w:fldCharType="begin"/>
        </w:r>
        <w:r>
          <w:instrText xml:space="preserve"> PAGE   \* MERGEFORMAT </w:instrText>
        </w:r>
        <w:r>
          <w:fldChar w:fldCharType="separate"/>
        </w:r>
        <w:r>
          <w:rPr>
            <w:noProof/>
          </w:rPr>
          <w:t>2</w:t>
        </w:r>
        <w:r>
          <w:rPr>
            <w:noProof/>
          </w:rPr>
          <w:fldChar w:fldCharType="end"/>
        </w:r>
        <w:r w:rsidRPr="00575207">
          <w:t xml:space="preserve"> </w:t>
        </w:r>
        <w:r>
          <w:rPr>
            <w:noProof/>
          </w:rPr>
          <w:tab/>
        </w:r>
        <w:r w:rsidRPr="00575207">
          <w:rPr>
            <w:i/>
            <w:iCs/>
            <w:noProof/>
            <w:sz w:val="18"/>
            <w:szCs w:val="18"/>
          </w:rPr>
          <w:t>LCA Guidance Document V1 – Updated December 2022</w:t>
        </w:r>
      </w:p>
      <w:p w14:paraId="1AD7602A" w14:textId="400A32BA" w:rsidR="00575207" w:rsidRDefault="00000000">
        <w:pPr>
          <w:pStyle w:val="Footer"/>
        </w:pPr>
      </w:p>
    </w:sdtContent>
  </w:sdt>
  <w:p w14:paraId="7CC061C4" w14:textId="77777777" w:rsidR="00575207" w:rsidRDefault="00575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86E4" w14:textId="7B344CC4" w:rsidR="00575207" w:rsidRPr="00575207" w:rsidRDefault="00000000" w:rsidP="00575207">
    <w:pPr>
      <w:pStyle w:val="Footer"/>
      <w:tabs>
        <w:tab w:val="clear" w:pos="4680"/>
      </w:tabs>
      <w:rPr>
        <w:i/>
        <w:iCs/>
        <w:noProof/>
        <w:sz w:val="18"/>
        <w:szCs w:val="18"/>
      </w:rPr>
    </w:pPr>
    <w:sdt>
      <w:sdtPr>
        <w:id w:val="-987249666"/>
        <w:docPartObj>
          <w:docPartGallery w:val="Page Numbers (Bottom of Page)"/>
          <w:docPartUnique/>
        </w:docPartObj>
      </w:sdtPr>
      <w:sdtEndPr>
        <w:rPr>
          <w:noProof/>
        </w:rPr>
      </w:sdtEndPr>
      <w:sdtContent>
        <w:r w:rsidR="00575207">
          <w:fldChar w:fldCharType="begin"/>
        </w:r>
        <w:r w:rsidR="00575207">
          <w:instrText xml:space="preserve"> PAGE   \* MERGEFORMAT </w:instrText>
        </w:r>
        <w:r w:rsidR="00575207">
          <w:fldChar w:fldCharType="separate"/>
        </w:r>
        <w:r w:rsidR="00575207">
          <w:rPr>
            <w:noProof/>
          </w:rPr>
          <w:t>2</w:t>
        </w:r>
        <w:r w:rsidR="00575207">
          <w:rPr>
            <w:noProof/>
          </w:rPr>
          <w:fldChar w:fldCharType="end"/>
        </w:r>
      </w:sdtContent>
    </w:sdt>
    <w:r w:rsidR="00575207">
      <w:rPr>
        <w:noProof/>
      </w:rPr>
      <w:tab/>
    </w:r>
    <w:r w:rsidR="00575207" w:rsidRPr="00575207">
      <w:rPr>
        <w:i/>
        <w:iCs/>
        <w:noProof/>
        <w:sz w:val="18"/>
        <w:szCs w:val="18"/>
      </w:rPr>
      <w:t>LCA Guidance Document V1 – Updated December 2022</w:t>
    </w:r>
  </w:p>
  <w:p w14:paraId="46EEB7A8" w14:textId="77777777" w:rsidR="00575207" w:rsidRDefault="00575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4B5E" w14:textId="77777777" w:rsidR="00E76283" w:rsidRDefault="00E76283" w:rsidP="005B23BF">
      <w:pPr>
        <w:spacing w:after="0" w:line="240" w:lineRule="auto"/>
      </w:pPr>
      <w:r>
        <w:separator/>
      </w:r>
    </w:p>
  </w:footnote>
  <w:footnote w:type="continuationSeparator" w:id="0">
    <w:p w14:paraId="29655369" w14:textId="77777777" w:rsidR="00E76283" w:rsidRDefault="00E76283" w:rsidP="005B23BF">
      <w:pPr>
        <w:spacing w:after="0" w:line="240" w:lineRule="auto"/>
      </w:pPr>
      <w:r>
        <w:continuationSeparator/>
      </w:r>
    </w:p>
  </w:footnote>
  <w:footnote w:type="continuationNotice" w:id="1">
    <w:p w14:paraId="6C9C5755" w14:textId="77777777" w:rsidR="00E76283" w:rsidRDefault="00E76283">
      <w:pPr>
        <w:spacing w:after="0" w:line="240" w:lineRule="auto"/>
      </w:pPr>
    </w:p>
  </w:footnote>
  <w:footnote w:id="2">
    <w:p w14:paraId="6499F959" w14:textId="15B38F49" w:rsidR="005B23BF" w:rsidRPr="00A82BCF" w:rsidRDefault="005B23BF">
      <w:pPr>
        <w:pStyle w:val="FootnoteText"/>
      </w:pPr>
      <w:r w:rsidRPr="00A82BCF">
        <w:rPr>
          <w:rStyle w:val="FootnoteReference"/>
          <w:vertAlign w:val="baseline"/>
        </w:rPr>
        <w:footnoteRef/>
      </w:r>
      <w:r w:rsidRPr="00A82BCF">
        <w:t xml:space="preserve"> PUC Docket 2020-0090</w:t>
      </w:r>
      <w:r w:rsidR="001A2D5D" w:rsidRPr="00A82BCF">
        <w:t>, Hawaiian Electric Companies For Approval of a First Amendment to Fuel Supply Contract with Par Hawaii Submission of Greenhouse Gas Report for Interim Phase of Proceeding</w:t>
      </w:r>
      <w:r w:rsidR="00FE15E6" w:rsidRPr="00A82BCF">
        <w:t>.</w:t>
      </w:r>
      <w:r w:rsidR="002E6B01">
        <w:t xml:space="preserve"> July 10, 2020.</w:t>
      </w:r>
    </w:p>
  </w:footnote>
  <w:footnote w:id="3">
    <w:p w14:paraId="2FA29F4F" w14:textId="5947CACD" w:rsidR="00FE15E6" w:rsidRPr="00A82BCF" w:rsidRDefault="00FE15E6">
      <w:pPr>
        <w:pStyle w:val="FootnoteText"/>
      </w:pPr>
      <w:r w:rsidRPr="00A82BCF">
        <w:footnoteRef/>
      </w:r>
      <w:r w:rsidRPr="00A82BCF">
        <w:t xml:space="preserve"> PUC Docket 2020-0158, </w:t>
      </w:r>
      <w:r w:rsidR="006273B6" w:rsidRPr="00A82BCF">
        <w:t xml:space="preserve">Application of The Gas Company, LLC. Dba </w:t>
      </w:r>
      <w:proofErr w:type="gramStart"/>
      <w:r w:rsidR="006273B6" w:rsidRPr="00A82BCF">
        <w:t>Hawai‘</w:t>
      </w:r>
      <w:proofErr w:type="gramEnd"/>
      <w:r w:rsidR="006273B6" w:rsidRPr="00A82BCF">
        <w:t>i Gas for Approval of Par Hawai‘i Refining, LLC, etc. Submittal of Greenhouse Gas Life-Cycle Assessment</w:t>
      </w:r>
      <w:r w:rsidR="006F4F3B">
        <w:t>.</w:t>
      </w:r>
      <w:r w:rsidR="006273B6" w:rsidRPr="00A82BCF">
        <w:t xml:space="preserve"> October 30, 2020</w:t>
      </w:r>
      <w:r w:rsidR="006F4F3B">
        <w:t>.</w:t>
      </w:r>
    </w:p>
  </w:footnote>
  <w:footnote w:id="4">
    <w:p w14:paraId="0A4291D4" w14:textId="57C46F47" w:rsidR="006C23BF" w:rsidRPr="00A82BCF" w:rsidRDefault="006C23BF">
      <w:pPr>
        <w:pStyle w:val="FootnoteText"/>
      </w:pPr>
      <w:r w:rsidRPr="00105D77">
        <w:rPr>
          <w:rStyle w:val="FootnoteReference"/>
        </w:rPr>
        <w:footnoteRef/>
      </w:r>
      <w:r w:rsidRPr="00A82BCF">
        <w:t xml:space="preserve"> </w:t>
      </w:r>
      <w:hyperlink r:id="rId1" w:history="1">
        <w:r w:rsidRPr="00A82BCF">
          <w:rPr>
            <w:rStyle w:val="Hyperlink"/>
          </w:rPr>
          <w:t>https://greet.es.anl.gov/files/greet-2021-summary</w:t>
        </w:r>
      </w:hyperlink>
    </w:p>
  </w:footnote>
  <w:footnote w:id="5">
    <w:p w14:paraId="1F138887" w14:textId="381596C3" w:rsidR="00141955" w:rsidRDefault="00141955">
      <w:pPr>
        <w:pStyle w:val="FootnoteText"/>
      </w:pPr>
      <w:r>
        <w:rPr>
          <w:rStyle w:val="FootnoteReference"/>
        </w:rPr>
        <w:footnoteRef/>
      </w:r>
      <w:r>
        <w:t xml:space="preserve"> </w:t>
      </w:r>
      <w:r w:rsidR="00105D77">
        <w:t xml:space="preserve">EPA </w:t>
      </w:r>
      <w:r w:rsidR="004A3474">
        <w:t>Renewable Fuels Standard Program</w:t>
      </w:r>
      <w:r w:rsidR="00D96981">
        <w:t>.</w:t>
      </w:r>
      <w:r w:rsidR="004A3474">
        <w:t xml:space="preserve"> </w:t>
      </w:r>
      <w:r w:rsidR="00435411">
        <w:t xml:space="preserve">40 CFR Subpart M </w:t>
      </w:r>
      <w:hyperlink r:id="rId2" w:history="1">
        <w:r w:rsidR="00D96981" w:rsidRPr="001118F7">
          <w:rPr>
            <w:rStyle w:val="Hyperlink"/>
          </w:rPr>
          <w:t>https://www.epa.gov/renewable-fuel-standard-program</w:t>
        </w:r>
      </w:hyperlink>
      <w:r w:rsidR="00105D77">
        <w:t xml:space="preserve"> </w:t>
      </w:r>
    </w:p>
  </w:footnote>
  <w:footnote w:id="6">
    <w:p w14:paraId="36B50CD3" w14:textId="105DA5AF" w:rsidR="00105D77" w:rsidRDefault="00105D77">
      <w:pPr>
        <w:pStyle w:val="FootnoteText"/>
      </w:pPr>
      <w:r>
        <w:rPr>
          <w:rStyle w:val="FootnoteReference"/>
        </w:rPr>
        <w:footnoteRef/>
      </w:r>
      <w:r>
        <w:t xml:space="preserve"> LCFS Life Cycle Analysis Models and Documentation. California Air Resources Board Available at: </w:t>
      </w:r>
      <w:hyperlink r:id="rId3" w:history="1">
        <w:r w:rsidRPr="001118F7">
          <w:rPr>
            <w:rStyle w:val="Hyperlink"/>
          </w:rPr>
          <w:t>https://ww2.arb.ca.gov/resources/documents/lcfs-life-cycle-analysis-models-and-documentation</w:t>
        </w:r>
      </w:hyperlink>
      <w:r>
        <w:t xml:space="preserve"> </w:t>
      </w:r>
    </w:p>
  </w:footnote>
  <w:footnote w:id="7">
    <w:p w14:paraId="2C411C0B" w14:textId="0189DA0C" w:rsidR="002B18F1" w:rsidRPr="00A82BCF" w:rsidRDefault="002B18F1">
      <w:pPr>
        <w:pStyle w:val="FootnoteText"/>
      </w:pPr>
      <w:r w:rsidRPr="00105D77">
        <w:rPr>
          <w:rStyle w:val="FootnoteReference"/>
        </w:rPr>
        <w:footnoteRef/>
      </w:r>
      <w:r w:rsidRPr="00105D77">
        <w:rPr>
          <w:vertAlign w:val="superscript"/>
        </w:rPr>
        <w:t xml:space="preserve"> </w:t>
      </w:r>
      <w:r w:rsidRPr="00A82BCF">
        <w:rPr>
          <w:rFonts w:cstheme="minorHAnsi"/>
        </w:rPr>
        <w:t xml:space="preserve">EPA RPS standard practice </w:t>
      </w:r>
      <w:hyperlink r:id="rId4" w:history="1">
        <w:r w:rsidRPr="00A82BCF">
          <w:rPr>
            <w:rStyle w:val="Hyperlink"/>
            <w:rFonts w:cstheme="minorHAnsi"/>
          </w:rPr>
          <w:t>https://www.epa.gov/renewable-fuel-standard-program/lifecycle-analysis-greenhouse-gas-emissions-under-renewable-fuel</w:t>
        </w:r>
      </w:hyperlink>
      <w:r w:rsidRPr="00A82BCF">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FA2D" w14:textId="53D6DD27" w:rsidR="00DE26BD" w:rsidRDefault="00DE26BD" w:rsidP="00B807A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6DE" w14:textId="74EEF503" w:rsidR="00B807AC" w:rsidRDefault="00B807AC" w:rsidP="00B807AC">
    <w:pPr>
      <w:pStyle w:val="Header"/>
      <w:jc w:val="right"/>
    </w:pPr>
    <w:r>
      <w:rPr>
        <w:noProof/>
      </w:rPr>
      <w:drawing>
        <wp:inline distT="0" distB="0" distL="0" distR="0" wp14:anchorId="0E3A57BF" wp14:editId="6F450457">
          <wp:extent cx="944880" cy="428063"/>
          <wp:effectExtent l="0" t="0" r="7620" b="0"/>
          <wp:docPr id="4" name="Picture 4" descr="Graphical user interface,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52503" cy="4315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1E8"/>
    <w:multiLevelType w:val="hybridMultilevel"/>
    <w:tmpl w:val="64D2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416E5"/>
    <w:multiLevelType w:val="hybridMultilevel"/>
    <w:tmpl w:val="2690C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0292F"/>
    <w:multiLevelType w:val="hybridMultilevel"/>
    <w:tmpl w:val="A7A29E46"/>
    <w:lvl w:ilvl="0" w:tplc="883E5E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B34FE"/>
    <w:multiLevelType w:val="hybridMultilevel"/>
    <w:tmpl w:val="403828C0"/>
    <w:lvl w:ilvl="0" w:tplc="96FCD05A">
      <w:start w:val="1"/>
      <w:numFmt w:val="bullet"/>
      <w:lvlText w:val="•"/>
      <w:lvlJc w:val="left"/>
      <w:pPr>
        <w:tabs>
          <w:tab w:val="num" w:pos="720"/>
        </w:tabs>
        <w:ind w:left="720" w:hanging="360"/>
      </w:pPr>
      <w:rPr>
        <w:rFonts w:ascii="Arial" w:hAnsi="Arial" w:hint="default"/>
      </w:rPr>
    </w:lvl>
    <w:lvl w:ilvl="1" w:tplc="AE907C22" w:tentative="1">
      <w:start w:val="1"/>
      <w:numFmt w:val="bullet"/>
      <w:lvlText w:val="•"/>
      <w:lvlJc w:val="left"/>
      <w:pPr>
        <w:tabs>
          <w:tab w:val="num" w:pos="1440"/>
        </w:tabs>
        <w:ind w:left="1440" w:hanging="360"/>
      </w:pPr>
      <w:rPr>
        <w:rFonts w:ascii="Arial" w:hAnsi="Arial" w:hint="default"/>
      </w:rPr>
    </w:lvl>
    <w:lvl w:ilvl="2" w:tplc="A35A48A0" w:tentative="1">
      <w:start w:val="1"/>
      <w:numFmt w:val="bullet"/>
      <w:lvlText w:val="•"/>
      <w:lvlJc w:val="left"/>
      <w:pPr>
        <w:tabs>
          <w:tab w:val="num" w:pos="2160"/>
        </w:tabs>
        <w:ind w:left="2160" w:hanging="360"/>
      </w:pPr>
      <w:rPr>
        <w:rFonts w:ascii="Arial" w:hAnsi="Arial" w:hint="default"/>
      </w:rPr>
    </w:lvl>
    <w:lvl w:ilvl="3" w:tplc="7C146B92" w:tentative="1">
      <w:start w:val="1"/>
      <w:numFmt w:val="bullet"/>
      <w:lvlText w:val="•"/>
      <w:lvlJc w:val="left"/>
      <w:pPr>
        <w:tabs>
          <w:tab w:val="num" w:pos="2880"/>
        </w:tabs>
        <w:ind w:left="2880" w:hanging="360"/>
      </w:pPr>
      <w:rPr>
        <w:rFonts w:ascii="Arial" w:hAnsi="Arial" w:hint="default"/>
      </w:rPr>
    </w:lvl>
    <w:lvl w:ilvl="4" w:tplc="484CECE4" w:tentative="1">
      <w:start w:val="1"/>
      <w:numFmt w:val="bullet"/>
      <w:lvlText w:val="•"/>
      <w:lvlJc w:val="left"/>
      <w:pPr>
        <w:tabs>
          <w:tab w:val="num" w:pos="3600"/>
        </w:tabs>
        <w:ind w:left="3600" w:hanging="360"/>
      </w:pPr>
      <w:rPr>
        <w:rFonts w:ascii="Arial" w:hAnsi="Arial" w:hint="default"/>
      </w:rPr>
    </w:lvl>
    <w:lvl w:ilvl="5" w:tplc="A8E86342" w:tentative="1">
      <w:start w:val="1"/>
      <w:numFmt w:val="bullet"/>
      <w:lvlText w:val="•"/>
      <w:lvlJc w:val="left"/>
      <w:pPr>
        <w:tabs>
          <w:tab w:val="num" w:pos="4320"/>
        </w:tabs>
        <w:ind w:left="4320" w:hanging="360"/>
      </w:pPr>
      <w:rPr>
        <w:rFonts w:ascii="Arial" w:hAnsi="Arial" w:hint="default"/>
      </w:rPr>
    </w:lvl>
    <w:lvl w:ilvl="6" w:tplc="72F2360C" w:tentative="1">
      <w:start w:val="1"/>
      <w:numFmt w:val="bullet"/>
      <w:lvlText w:val="•"/>
      <w:lvlJc w:val="left"/>
      <w:pPr>
        <w:tabs>
          <w:tab w:val="num" w:pos="5040"/>
        </w:tabs>
        <w:ind w:left="5040" w:hanging="360"/>
      </w:pPr>
      <w:rPr>
        <w:rFonts w:ascii="Arial" w:hAnsi="Arial" w:hint="default"/>
      </w:rPr>
    </w:lvl>
    <w:lvl w:ilvl="7" w:tplc="E19A4FAA" w:tentative="1">
      <w:start w:val="1"/>
      <w:numFmt w:val="bullet"/>
      <w:lvlText w:val="•"/>
      <w:lvlJc w:val="left"/>
      <w:pPr>
        <w:tabs>
          <w:tab w:val="num" w:pos="5760"/>
        </w:tabs>
        <w:ind w:left="5760" w:hanging="360"/>
      </w:pPr>
      <w:rPr>
        <w:rFonts w:ascii="Arial" w:hAnsi="Arial" w:hint="default"/>
      </w:rPr>
    </w:lvl>
    <w:lvl w:ilvl="8" w:tplc="AFFA9FF4" w:tentative="1">
      <w:start w:val="1"/>
      <w:numFmt w:val="bullet"/>
      <w:lvlText w:val="•"/>
      <w:lvlJc w:val="left"/>
      <w:pPr>
        <w:tabs>
          <w:tab w:val="num" w:pos="6480"/>
        </w:tabs>
        <w:ind w:left="6480" w:hanging="360"/>
      </w:pPr>
      <w:rPr>
        <w:rFonts w:ascii="Arial" w:hAnsi="Arial" w:hint="default"/>
      </w:rPr>
    </w:lvl>
  </w:abstractNum>
  <w:num w:numId="1" w16cid:durableId="1213035794">
    <w:abstractNumId w:val="0"/>
  </w:num>
  <w:num w:numId="2" w16cid:durableId="389039295">
    <w:abstractNumId w:val="1"/>
  </w:num>
  <w:num w:numId="3" w16cid:durableId="1604071328">
    <w:abstractNumId w:val="2"/>
  </w:num>
  <w:num w:numId="4" w16cid:durableId="560597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srA0NDEyMDG2tDBT0lEKTi0uzszPAykwNKgFADDO4+otAAAA"/>
  </w:docVars>
  <w:rsids>
    <w:rsidRoot w:val="003B7098"/>
    <w:rsid w:val="00001F77"/>
    <w:rsid w:val="000048FD"/>
    <w:rsid w:val="00031F80"/>
    <w:rsid w:val="00034685"/>
    <w:rsid w:val="00041956"/>
    <w:rsid w:val="00042193"/>
    <w:rsid w:val="00047697"/>
    <w:rsid w:val="000531E8"/>
    <w:rsid w:val="000555D2"/>
    <w:rsid w:val="000632B1"/>
    <w:rsid w:val="0008387B"/>
    <w:rsid w:val="00083EBD"/>
    <w:rsid w:val="00084BA2"/>
    <w:rsid w:val="000903F5"/>
    <w:rsid w:val="000934E9"/>
    <w:rsid w:val="00093AB7"/>
    <w:rsid w:val="000A3A67"/>
    <w:rsid w:val="000B5DFB"/>
    <w:rsid w:val="000C0DBC"/>
    <w:rsid w:val="000C2FFF"/>
    <w:rsid w:val="000C78DE"/>
    <w:rsid w:val="000D1C35"/>
    <w:rsid w:val="000D571D"/>
    <w:rsid w:val="000D6BBC"/>
    <w:rsid w:val="000E3476"/>
    <w:rsid w:val="000F1C0D"/>
    <w:rsid w:val="000F3FB9"/>
    <w:rsid w:val="000F5AE0"/>
    <w:rsid w:val="000F738A"/>
    <w:rsid w:val="00105D77"/>
    <w:rsid w:val="0010615B"/>
    <w:rsid w:val="001062F9"/>
    <w:rsid w:val="00120875"/>
    <w:rsid w:val="001324C4"/>
    <w:rsid w:val="00137E3B"/>
    <w:rsid w:val="00141955"/>
    <w:rsid w:val="00155000"/>
    <w:rsid w:val="00163347"/>
    <w:rsid w:val="001742F7"/>
    <w:rsid w:val="0018496C"/>
    <w:rsid w:val="001859B4"/>
    <w:rsid w:val="001A2D5D"/>
    <w:rsid w:val="001A32E5"/>
    <w:rsid w:val="001B14A0"/>
    <w:rsid w:val="001B28CB"/>
    <w:rsid w:val="001B467F"/>
    <w:rsid w:val="001E1E34"/>
    <w:rsid w:val="001E7D9A"/>
    <w:rsid w:val="001F3834"/>
    <w:rsid w:val="00202443"/>
    <w:rsid w:val="00217CF0"/>
    <w:rsid w:val="00222052"/>
    <w:rsid w:val="0022480A"/>
    <w:rsid w:val="00227BB6"/>
    <w:rsid w:val="002304BB"/>
    <w:rsid w:val="00244D71"/>
    <w:rsid w:val="002543CA"/>
    <w:rsid w:val="00290AB1"/>
    <w:rsid w:val="00291C47"/>
    <w:rsid w:val="00294E97"/>
    <w:rsid w:val="002A314E"/>
    <w:rsid w:val="002A481F"/>
    <w:rsid w:val="002A6B5F"/>
    <w:rsid w:val="002B18F1"/>
    <w:rsid w:val="002C4D23"/>
    <w:rsid w:val="002C5AE2"/>
    <w:rsid w:val="002D17B4"/>
    <w:rsid w:val="002D5675"/>
    <w:rsid w:val="002E0E7F"/>
    <w:rsid w:val="002E5B62"/>
    <w:rsid w:val="002E6B01"/>
    <w:rsid w:val="002E736F"/>
    <w:rsid w:val="002F0F80"/>
    <w:rsid w:val="002F24AD"/>
    <w:rsid w:val="002F2722"/>
    <w:rsid w:val="0030007F"/>
    <w:rsid w:val="003053E0"/>
    <w:rsid w:val="00314B02"/>
    <w:rsid w:val="00336B81"/>
    <w:rsid w:val="00341906"/>
    <w:rsid w:val="0034662A"/>
    <w:rsid w:val="003478E8"/>
    <w:rsid w:val="003544DA"/>
    <w:rsid w:val="003573A9"/>
    <w:rsid w:val="00375313"/>
    <w:rsid w:val="00376356"/>
    <w:rsid w:val="00376773"/>
    <w:rsid w:val="00376BDE"/>
    <w:rsid w:val="00384DD4"/>
    <w:rsid w:val="003A0277"/>
    <w:rsid w:val="003A0829"/>
    <w:rsid w:val="003A17C6"/>
    <w:rsid w:val="003B03B4"/>
    <w:rsid w:val="003B32F9"/>
    <w:rsid w:val="003B7098"/>
    <w:rsid w:val="003C3D99"/>
    <w:rsid w:val="003C4441"/>
    <w:rsid w:val="003C5D25"/>
    <w:rsid w:val="003C6C3A"/>
    <w:rsid w:val="003D2A7E"/>
    <w:rsid w:val="003E1C6B"/>
    <w:rsid w:val="003F1794"/>
    <w:rsid w:val="00401326"/>
    <w:rsid w:val="00406571"/>
    <w:rsid w:val="0042780D"/>
    <w:rsid w:val="00433DF6"/>
    <w:rsid w:val="00435411"/>
    <w:rsid w:val="00436788"/>
    <w:rsid w:val="004400C5"/>
    <w:rsid w:val="0044129A"/>
    <w:rsid w:val="00447A0C"/>
    <w:rsid w:val="00451CCF"/>
    <w:rsid w:val="00457C09"/>
    <w:rsid w:val="0046013B"/>
    <w:rsid w:val="00461CDB"/>
    <w:rsid w:val="00461FC3"/>
    <w:rsid w:val="004632EC"/>
    <w:rsid w:val="0046750E"/>
    <w:rsid w:val="00472913"/>
    <w:rsid w:val="00472BF0"/>
    <w:rsid w:val="0047719D"/>
    <w:rsid w:val="0048482B"/>
    <w:rsid w:val="00484880"/>
    <w:rsid w:val="00484EBB"/>
    <w:rsid w:val="00491B6C"/>
    <w:rsid w:val="004923A1"/>
    <w:rsid w:val="004945F6"/>
    <w:rsid w:val="00497764"/>
    <w:rsid w:val="004A0FBF"/>
    <w:rsid w:val="004A3474"/>
    <w:rsid w:val="004A596E"/>
    <w:rsid w:val="004B45EA"/>
    <w:rsid w:val="004B550F"/>
    <w:rsid w:val="004B67BF"/>
    <w:rsid w:val="004E325A"/>
    <w:rsid w:val="004E7EDE"/>
    <w:rsid w:val="00512180"/>
    <w:rsid w:val="005137EB"/>
    <w:rsid w:val="0052345E"/>
    <w:rsid w:val="005310D1"/>
    <w:rsid w:val="00540B26"/>
    <w:rsid w:val="00575207"/>
    <w:rsid w:val="005767BD"/>
    <w:rsid w:val="00577D0D"/>
    <w:rsid w:val="005901DA"/>
    <w:rsid w:val="005A402A"/>
    <w:rsid w:val="005B0CA7"/>
    <w:rsid w:val="005B23BF"/>
    <w:rsid w:val="005B2D9F"/>
    <w:rsid w:val="005B70D9"/>
    <w:rsid w:val="005B73E0"/>
    <w:rsid w:val="005C1C43"/>
    <w:rsid w:val="005D28A6"/>
    <w:rsid w:val="005D5929"/>
    <w:rsid w:val="005E1FFE"/>
    <w:rsid w:val="005E2CA1"/>
    <w:rsid w:val="005E3771"/>
    <w:rsid w:val="005F3F0B"/>
    <w:rsid w:val="0060352C"/>
    <w:rsid w:val="00616DB6"/>
    <w:rsid w:val="00625177"/>
    <w:rsid w:val="006273B6"/>
    <w:rsid w:val="00627AA9"/>
    <w:rsid w:val="0063031E"/>
    <w:rsid w:val="0063070D"/>
    <w:rsid w:val="00631376"/>
    <w:rsid w:val="00636D62"/>
    <w:rsid w:val="00636DDE"/>
    <w:rsid w:val="00647640"/>
    <w:rsid w:val="006503E1"/>
    <w:rsid w:val="00651949"/>
    <w:rsid w:val="00660B55"/>
    <w:rsid w:val="00664EA5"/>
    <w:rsid w:val="00670075"/>
    <w:rsid w:val="006731D7"/>
    <w:rsid w:val="00692B73"/>
    <w:rsid w:val="00694FEA"/>
    <w:rsid w:val="006A2963"/>
    <w:rsid w:val="006A4F7A"/>
    <w:rsid w:val="006B1523"/>
    <w:rsid w:val="006C23BF"/>
    <w:rsid w:val="006C5A6D"/>
    <w:rsid w:val="006D17EF"/>
    <w:rsid w:val="006D369C"/>
    <w:rsid w:val="006D3B59"/>
    <w:rsid w:val="006E3CCB"/>
    <w:rsid w:val="006E4152"/>
    <w:rsid w:val="006E6574"/>
    <w:rsid w:val="006F2CE4"/>
    <w:rsid w:val="006F3020"/>
    <w:rsid w:val="006F4F3B"/>
    <w:rsid w:val="006F557F"/>
    <w:rsid w:val="006F6DED"/>
    <w:rsid w:val="00700A77"/>
    <w:rsid w:val="00701535"/>
    <w:rsid w:val="00713575"/>
    <w:rsid w:val="007161D8"/>
    <w:rsid w:val="00717704"/>
    <w:rsid w:val="00724695"/>
    <w:rsid w:val="0074162E"/>
    <w:rsid w:val="00742609"/>
    <w:rsid w:val="007553A1"/>
    <w:rsid w:val="0075678B"/>
    <w:rsid w:val="007624B5"/>
    <w:rsid w:val="00764ABF"/>
    <w:rsid w:val="00784CA3"/>
    <w:rsid w:val="00785474"/>
    <w:rsid w:val="00787422"/>
    <w:rsid w:val="007938F8"/>
    <w:rsid w:val="00794DB7"/>
    <w:rsid w:val="0079557A"/>
    <w:rsid w:val="007A52FB"/>
    <w:rsid w:val="007B1529"/>
    <w:rsid w:val="007C3611"/>
    <w:rsid w:val="007C414E"/>
    <w:rsid w:val="007C59E1"/>
    <w:rsid w:val="007D1752"/>
    <w:rsid w:val="007D6A9B"/>
    <w:rsid w:val="007E54E0"/>
    <w:rsid w:val="007E73FA"/>
    <w:rsid w:val="00803680"/>
    <w:rsid w:val="00805494"/>
    <w:rsid w:val="00820FD4"/>
    <w:rsid w:val="00822485"/>
    <w:rsid w:val="00823523"/>
    <w:rsid w:val="008433D9"/>
    <w:rsid w:val="00844C86"/>
    <w:rsid w:val="00851019"/>
    <w:rsid w:val="00865FB5"/>
    <w:rsid w:val="0087764A"/>
    <w:rsid w:val="00887831"/>
    <w:rsid w:val="0089354A"/>
    <w:rsid w:val="008B443F"/>
    <w:rsid w:val="008C03BB"/>
    <w:rsid w:val="008C0CB9"/>
    <w:rsid w:val="008E2FF2"/>
    <w:rsid w:val="008E6E83"/>
    <w:rsid w:val="008F3C73"/>
    <w:rsid w:val="0090142B"/>
    <w:rsid w:val="00903AD9"/>
    <w:rsid w:val="00907309"/>
    <w:rsid w:val="009116C1"/>
    <w:rsid w:val="00917CC8"/>
    <w:rsid w:val="009222A8"/>
    <w:rsid w:val="00933DCF"/>
    <w:rsid w:val="00936048"/>
    <w:rsid w:val="00941D92"/>
    <w:rsid w:val="00943960"/>
    <w:rsid w:val="00945838"/>
    <w:rsid w:val="00947A09"/>
    <w:rsid w:val="00957AE4"/>
    <w:rsid w:val="00960880"/>
    <w:rsid w:val="00960D33"/>
    <w:rsid w:val="00963482"/>
    <w:rsid w:val="00964B00"/>
    <w:rsid w:val="009678CD"/>
    <w:rsid w:val="009826E0"/>
    <w:rsid w:val="00983386"/>
    <w:rsid w:val="009860A9"/>
    <w:rsid w:val="00995A79"/>
    <w:rsid w:val="00995EB9"/>
    <w:rsid w:val="009B006A"/>
    <w:rsid w:val="009B020B"/>
    <w:rsid w:val="009B2752"/>
    <w:rsid w:val="009B325F"/>
    <w:rsid w:val="009B5EC7"/>
    <w:rsid w:val="009C1756"/>
    <w:rsid w:val="009C371E"/>
    <w:rsid w:val="009C457C"/>
    <w:rsid w:val="009D3849"/>
    <w:rsid w:val="009D3B31"/>
    <w:rsid w:val="009E06CA"/>
    <w:rsid w:val="009E3598"/>
    <w:rsid w:val="009E503C"/>
    <w:rsid w:val="009F0000"/>
    <w:rsid w:val="009F0917"/>
    <w:rsid w:val="00A03E8C"/>
    <w:rsid w:val="00A04BE2"/>
    <w:rsid w:val="00A07B05"/>
    <w:rsid w:val="00A07D51"/>
    <w:rsid w:val="00A24166"/>
    <w:rsid w:val="00A5079B"/>
    <w:rsid w:val="00A52BCD"/>
    <w:rsid w:val="00A5626E"/>
    <w:rsid w:val="00A5770B"/>
    <w:rsid w:val="00A64CEA"/>
    <w:rsid w:val="00A70ACB"/>
    <w:rsid w:val="00A71198"/>
    <w:rsid w:val="00A723E7"/>
    <w:rsid w:val="00A7340B"/>
    <w:rsid w:val="00A742D3"/>
    <w:rsid w:val="00A7629C"/>
    <w:rsid w:val="00A82BCF"/>
    <w:rsid w:val="00AA2D3F"/>
    <w:rsid w:val="00AA406F"/>
    <w:rsid w:val="00AB2DD6"/>
    <w:rsid w:val="00AB47CA"/>
    <w:rsid w:val="00AB5503"/>
    <w:rsid w:val="00AC0047"/>
    <w:rsid w:val="00AC1DD3"/>
    <w:rsid w:val="00AD029D"/>
    <w:rsid w:val="00AD1413"/>
    <w:rsid w:val="00AE45F9"/>
    <w:rsid w:val="00AF1BCC"/>
    <w:rsid w:val="00AF345F"/>
    <w:rsid w:val="00AF53B1"/>
    <w:rsid w:val="00AF6DC2"/>
    <w:rsid w:val="00B005A0"/>
    <w:rsid w:val="00B0390D"/>
    <w:rsid w:val="00B11E7B"/>
    <w:rsid w:val="00B13EFD"/>
    <w:rsid w:val="00B245F8"/>
    <w:rsid w:val="00B269D8"/>
    <w:rsid w:val="00B32E06"/>
    <w:rsid w:val="00B416FD"/>
    <w:rsid w:val="00B535B1"/>
    <w:rsid w:val="00B54A63"/>
    <w:rsid w:val="00B65445"/>
    <w:rsid w:val="00B70CAA"/>
    <w:rsid w:val="00B76AB6"/>
    <w:rsid w:val="00B807AC"/>
    <w:rsid w:val="00B87208"/>
    <w:rsid w:val="00B93D1A"/>
    <w:rsid w:val="00B96351"/>
    <w:rsid w:val="00BA276F"/>
    <w:rsid w:val="00BA291A"/>
    <w:rsid w:val="00BB37CD"/>
    <w:rsid w:val="00BB4C8A"/>
    <w:rsid w:val="00BC060C"/>
    <w:rsid w:val="00BD00C2"/>
    <w:rsid w:val="00BD565A"/>
    <w:rsid w:val="00BD6006"/>
    <w:rsid w:val="00BE1A54"/>
    <w:rsid w:val="00BE2F6D"/>
    <w:rsid w:val="00BE6D74"/>
    <w:rsid w:val="00BE7B9C"/>
    <w:rsid w:val="00BF19F4"/>
    <w:rsid w:val="00BF20A0"/>
    <w:rsid w:val="00BF3D6B"/>
    <w:rsid w:val="00C01E09"/>
    <w:rsid w:val="00C02EF4"/>
    <w:rsid w:val="00C07D91"/>
    <w:rsid w:val="00C14233"/>
    <w:rsid w:val="00C16240"/>
    <w:rsid w:val="00C20366"/>
    <w:rsid w:val="00C26A81"/>
    <w:rsid w:val="00C31266"/>
    <w:rsid w:val="00C379DA"/>
    <w:rsid w:val="00C40E13"/>
    <w:rsid w:val="00C51C02"/>
    <w:rsid w:val="00C64801"/>
    <w:rsid w:val="00C72F1C"/>
    <w:rsid w:val="00C74A45"/>
    <w:rsid w:val="00C756AB"/>
    <w:rsid w:val="00C912ED"/>
    <w:rsid w:val="00CA1D03"/>
    <w:rsid w:val="00CA314E"/>
    <w:rsid w:val="00CB0A5F"/>
    <w:rsid w:val="00CB33E4"/>
    <w:rsid w:val="00CC1DBE"/>
    <w:rsid w:val="00CC30BF"/>
    <w:rsid w:val="00CC3F12"/>
    <w:rsid w:val="00CE601C"/>
    <w:rsid w:val="00D0196F"/>
    <w:rsid w:val="00D06C62"/>
    <w:rsid w:val="00D204F4"/>
    <w:rsid w:val="00D240B5"/>
    <w:rsid w:val="00D338D9"/>
    <w:rsid w:val="00D37401"/>
    <w:rsid w:val="00D428BD"/>
    <w:rsid w:val="00D50A07"/>
    <w:rsid w:val="00D70AEA"/>
    <w:rsid w:val="00D7688E"/>
    <w:rsid w:val="00D861F3"/>
    <w:rsid w:val="00D862B9"/>
    <w:rsid w:val="00D96981"/>
    <w:rsid w:val="00D96A37"/>
    <w:rsid w:val="00DA08FF"/>
    <w:rsid w:val="00DA0CA7"/>
    <w:rsid w:val="00DA385A"/>
    <w:rsid w:val="00DA3AAB"/>
    <w:rsid w:val="00DA4AD1"/>
    <w:rsid w:val="00DC19A6"/>
    <w:rsid w:val="00DC529C"/>
    <w:rsid w:val="00DD596B"/>
    <w:rsid w:val="00DD6329"/>
    <w:rsid w:val="00DE26BD"/>
    <w:rsid w:val="00DE5B2C"/>
    <w:rsid w:val="00E027C8"/>
    <w:rsid w:val="00E146C9"/>
    <w:rsid w:val="00E200E2"/>
    <w:rsid w:val="00E24E05"/>
    <w:rsid w:val="00E25D3E"/>
    <w:rsid w:val="00E3173A"/>
    <w:rsid w:val="00E347C2"/>
    <w:rsid w:val="00E42475"/>
    <w:rsid w:val="00E47736"/>
    <w:rsid w:val="00E47960"/>
    <w:rsid w:val="00E532C3"/>
    <w:rsid w:val="00E537FC"/>
    <w:rsid w:val="00E71D22"/>
    <w:rsid w:val="00E746C7"/>
    <w:rsid w:val="00E76283"/>
    <w:rsid w:val="00E8372C"/>
    <w:rsid w:val="00E83A27"/>
    <w:rsid w:val="00E8713D"/>
    <w:rsid w:val="00E976A1"/>
    <w:rsid w:val="00EA02CF"/>
    <w:rsid w:val="00EA0CDF"/>
    <w:rsid w:val="00EA57BF"/>
    <w:rsid w:val="00EA7426"/>
    <w:rsid w:val="00EC2E9D"/>
    <w:rsid w:val="00EC77DD"/>
    <w:rsid w:val="00ED7EEF"/>
    <w:rsid w:val="00EE0439"/>
    <w:rsid w:val="00EE071F"/>
    <w:rsid w:val="00EE7D1B"/>
    <w:rsid w:val="00EF2890"/>
    <w:rsid w:val="00EF4A92"/>
    <w:rsid w:val="00F016AF"/>
    <w:rsid w:val="00F01A5E"/>
    <w:rsid w:val="00F0380E"/>
    <w:rsid w:val="00F05ADA"/>
    <w:rsid w:val="00F078A7"/>
    <w:rsid w:val="00F07A80"/>
    <w:rsid w:val="00F2128C"/>
    <w:rsid w:val="00F34DD0"/>
    <w:rsid w:val="00F43B25"/>
    <w:rsid w:val="00F461E6"/>
    <w:rsid w:val="00F5245B"/>
    <w:rsid w:val="00F52911"/>
    <w:rsid w:val="00F82547"/>
    <w:rsid w:val="00F8555A"/>
    <w:rsid w:val="00F912D4"/>
    <w:rsid w:val="00FB5476"/>
    <w:rsid w:val="00FC2304"/>
    <w:rsid w:val="00FC2DB7"/>
    <w:rsid w:val="00FC3A5B"/>
    <w:rsid w:val="00FD3311"/>
    <w:rsid w:val="00FD60C0"/>
    <w:rsid w:val="00FE0450"/>
    <w:rsid w:val="00FE15E6"/>
    <w:rsid w:val="00FF5A1C"/>
    <w:rsid w:val="00FF636B"/>
    <w:rsid w:val="03655C2C"/>
    <w:rsid w:val="07BF8AB6"/>
    <w:rsid w:val="0812004A"/>
    <w:rsid w:val="0B982FC8"/>
    <w:rsid w:val="0BF79591"/>
    <w:rsid w:val="0D4A423E"/>
    <w:rsid w:val="0E1B3911"/>
    <w:rsid w:val="12CBA22E"/>
    <w:rsid w:val="13524AE9"/>
    <w:rsid w:val="15E392EB"/>
    <w:rsid w:val="178DBB4E"/>
    <w:rsid w:val="1A5B2148"/>
    <w:rsid w:val="20DA7680"/>
    <w:rsid w:val="2775291C"/>
    <w:rsid w:val="2BCF42CD"/>
    <w:rsid w:val="309D8385"/>
    <w:rsid w:val="311117BA"/>
    <w:rsid w:val="318B3E03"/>
    <w:rsid w:val="348A4FA6"/>
    <w:rsid w:val="42D01D34"/>
    <w:rsid w:val="442C8C87"/>
    <w:rsid w:val="45F46578"/>
    <w:rsid w:val="46A87651"/>
    <w:rsid w:val="4A7762BD"/>
    <w:rsid w:val="4BD8D89C"/>
    <w:rsid w:val="4E301AD2"/>
    <w:rsid w:val="54257754"/>
    <w:rsid w:val="5D4740DF"/>
    <w:rsid w:val="61AE7F0D"/>
    <w:rsid w:val="633CC8E9"/>
    <w:rsid w:val="63B2677A"/>
    <w:rsid w:val="66FEAD0C"/>
    <w:rsid w:val="6A7D2253"/>
    <w:rsid w:val="6E6CC773"/>
    <w:rsid w:val="72080D1A"/>
    <w:rsid w:val="7209D6DE"/>
    <w:rsid w:val="73D332A0"/>
    <w:rsid w:val="74746F35"/>
    <w:rsid w:val="74B2BFE4"/>
    <w:rsid w:val="74C50D74"/>
    <w:rsid w:val="76D486E6"/>
    <w:rsid w:val="776F395C"/>
    <w:rsid w:val="7FB0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654F7"/>
  <w15:chartTrackingRefBased/>
  <w15:docId w15:val="{DDEFFFEB-A431-4765-BE45-6BDD8EE9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DB7"/>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unhideWhenUsed/>
    <w:qFormat/>
    <w:rsid w:val="00FC2DB7"/>
    <w:pPr>
      <w:keepNext/>
      <w:keepLines/>
      <w:spacing w:before="40" w:after="0"/>
      <w:outlineLvl w:val="1"/>
    </w:pPr>
    <w:rPr>
      <w:rFonts w:asciiTheme="majorHAnsi" w:eastAsiaTheme="majorEastAsia" w:hAnsiTheme="majorHAnsi" w:cstheme="majorBidi"/>
      <w:color w:val="6B911C" w:themeColor="accent1" w:themeShade="BF"/>
      <w:sz w:val="26"/>
      <w:szCs w:val="26"/>
    </w:rPr>
  </w:style>
  <w:style w:type="paragraph" w:styleId="Heading3">
    <w:name w:val="heading 3"/>
    <w:basedOn w:val="Normal"/>
    <w:next w:val="Normal"/>
    <w:link w:val="Heading3Char"/>
    <w:uiPriority w:val="9"/>
    <w:unhideWhenUsed/>
    <w:qFormat/>
    <w:rsid w:val="00E537FC"/>
    <w:pPr>
      <w:keepNext/>
      <w:keepLines/>
      <w:spacing w:before="40" w:after="0"/>
      <w:outlineLvl w:val="2"/>
    </w:pPr>
    <w:rPr>
      <w:rFonts w:asciiTheme="majorHAnsi" w:eastAsiaTheme="majorEastAsia" w:hAnsiTheme="majorHAnsi" w:cstheme="majorBidi"/>
      <w:color w:val="47601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2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3BF"/>
    <w:rPr>
      <w:sz w:val="20"/>
      <w:szCs w:val="20"/>
    </w:rPr>
  </w:style>
  <w:style w:type="character" w:styleId="FootnoteReference">
    <w:name w:val="footnote reference"/>
    <w:basedOn w:val="DefaultParagraphFont"/>
    <w:uiPriority w:val="99"/>
    <w:semiHidden/>
    <w:unhideWhenUsed/>
    <w:rsid w:val="005B23BF"/>
    <w:rPr>
      <w:vertAlign w:val="superscript"/>
    </w:rPr>
  </w:style>
  <w:style w:type="paragraph" w:styleId="ListParagraph">
    <w:name w:val="List Paragraph"/>
    <w:basedOn w:val="Normal"/>
    <w:uiPriority w:val="34"/>
    <w:qFormat/>
    <w:rsid w:val="00A07B05"/>
    <w:pPr>
      <w:ind w:left="720"/>
      <w:contextualSpacing/>
    </w:pPr>
  </w:style>
  <w:style w:type="paragraph" w:styleId="Header">
    <w:name w:val="header"/>
    <w:basedOn w:val="Normal"/>
    <w:link w:val="HeaderChar"/>
    <w:uiPriority w:val="99"/>
    <w:unhideWhenUsed/>
    <w:rsid w:val="00DE2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6BD"/>
  </w:style>
  <w:style w:type="paragraph" w:styleId="Footer">
    <w:name w:val="footer"/>
    <w:basedOn w:val="Normal"/>
    <w:link w:val="FooterChar"/>
    <w:uiPriority w:val="99"/>
    <w:unhideWhenUsed/>
    <w:rsid w:val="00DE2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6BD"/>
  </w:style>
  <w:style w:type="character" w:styleId="CommentReference">
    <w:name w:val="annotation reference"/>
    <w:basedOn w:val="DefaultParagraphFont"/>
    <w:uiPriority w:val="99"/>
    <w:semiHidden/>
    <w:unhideWhenUsed/>
    <w:rsid w:val="006E3CCB"/>
    <w:rPr>
      <w:sz w:val="16"/>
      <w:szCs w:val="16"/>
    </w:rPr>
  </w:style>
  <w:style w:type="paragraph" w:styleId="CommentText">
    <w:name w:val="annotation text"/>
    <w:basedOn w:val="Normal"/>
    <w:link w:val="CommentTextChar"/>
    <w:uiPriority w:val="99"/>
    <w:unhideWhenUsed/>
    <w:rsid w:val="006E3CCB"/>
    <w:pPr>
      <w:spacing w:line="240" w:lineRule="auto"/>
    </w:pPr>
    <w:rPr>
      <w:sz w:val="20"/>
      <w:szCs w:val="20"/>
    </w:rPr>
  </w:style>
  <w:style w:type="character" w:customStyle="1" w:styleId="CommentTextChar">
    <w:name w:val="Comment Text Char"/>
    <w:basedOn w:val="DefaultParagraphFont"/>
    <w:link w:val="CommentText"/>
    <w:uiPriority w:val="99"/>
    <w:rsid w:val="006E3CCB"/>
    <w:rPr>
      <w:sz w:val="20"/>
      <w:szCs w:val="20"/>
    </w:rPr>
  </w:style>
  <w:style w:type="paragraph" w:styleId="CommentSubject">
    <w:name w:val="annotation subject"/>
    <w:basedOn w:val="CommentText"/>
    <w:next w:val="CommentText"/>
    <w:link w:val="CommentSubjectChar"/>
    <w:uiPriority w:val="99"/>
    <w:semiHidden/>
    <w:unhideWhenUsed/>
    <w:rsid w:val="006E3CCB"/>
    <w:rPr>
      <w:b/>
      <w:bCs/>
    </w:rPr>
  </w:style>
  <w:style w:type="character" w:customStyle="1" w:styleId="CommentSubjectChar">
    <w:name w:val="Comment Subject Char"/>
    <w:basedOn w:val="CommentTextChar"/>
    <w:link w:val="CommentSubject"/>
    <w:uiPriority w:val="99"/>
    <w:semiHidden/>
    <w:rsid w:val="006E3CCB"/>
    <w:rPr>
      <w:b/>
      <w:bCs/>
      <w:sz w:val="20"/>
      <w:szCs w:val="20"/>
    </w:rPr>
  </w:style>
  <w:style w:type="paragraph" w:styleId="Caption">
    <w:name w:val="caption"/>
    <w:basedOn w:val="Normal"/>
    <w:next w:val="Normal"/>
    <w:uiPriority w:val="35"/>
    <w:unhideWhenUsed/>
    <w:qFormat/>
    <w:rsid w:val="00E347C2"/>
    <w:pPr>
      <w:spacing w:after="200" w:line="240" w:lineRule="auto"/>
    </w:pPr>
    <w:rPr>
      <w:i/>
      <w:iCs/>
      <w:color w:val="2C3C43" w:themeColor="text2"/>
      <w:sz w:val="18"/>
      <w:szCs w:val="18"/>
    </w:rPr>
  </w:style>
  <w:style w:type="paragraph" w:styleId="Revision">
    <w:name w:val="Revision"/>
    <w:hidden/>
    <w:uiPriority w:val="99"/>
    <w:semiHidden/>
    <w:rsid w:val="0048482B"/>
    <w:pPr>
      <w:spacing w:after="0" w:line="240" w:lineRule="auto"/>
    </w:pPr>
  </w:style>
  <w:style w:type="paragraph" w:styleId="EndnoteText">
    <w:name w:val="endnote text"/>
    <w:basedOn w:val="Normal"/>
    <w:link w:val="EndnoteTextChar"/>
    <w:uiPriority w:val="99"/>
    <w:semiHidden/>
    <w:unhideWhenUsed/>
    <w:rsid w:val="004848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482B"/>
    <w:rPr>
      <w:sz w:val="20"/>
      <w:szCs w:val="20"/>
    </w:rPr>
  </w:style>
  <w:style w:type="character" w:styleId="EndnoteReference">
    <w:name w:val="endnote reference"/>
    <w:basedOn w:val="DefaultParagraphFont"/>
    <w:uiPriority w:val="99"/>
    <w:semiHidden/>
    <w:unhideWhenUsed/>
    <w:rsid w:val="0048482B"/>
    <w:rPr>
      <w:vertAlign w:val="superscript"/>
    </w:rPr>
  </w:style>
  <w:style w:type="character" w:styleId="Hyperlink">
    <w:name w:val="Hyperlink"/>
    <w:basedOn w:val="DefaultParagraphFont"/>
    <w:uiPriority w:val="99"/>
    <w:unhideWhenUsed/>
    <w:rsid w:val="0048482B"/>
    <w:rPr>
      <w:color w:val="0563C1"/>
      <w:u w:val="single"/>
    </w:rPr>
  </w:style>
  <w:style w:type="character" w:styleId="Mention">
    <w:name w:val="Mention"/>
    <w:basedOn w:val="DefaultParagraphFont"/>
    <w:uiPriority w:val="99"/>
    <w:unhideWhenUsed/>
    <w:rsid w:val="0048482B"/>
    <w:rPr>
      <w:color w:val="2B579A"/>
      <w:shd w:val="clear" w:color="auto" w:fill="E1DFDD"/>
    </w:rPr>
  </w:style>
  <w:style w:type="character" w:styleId="UnresolvedMention">
    <w:name w:val="Unresolved Mention"/>
    <w:basedOn w:val="DefaultParagraphFont"/>
    <w:uiPriority w:val="99"/>
    <w:semiHidden/>
    <w:unhideWhenUsed/>
    <w:rsid w:val="009B006A"/>
    <w:rPr>
      <w:color w:val="605E5C"/>
      <w:shd w:val="clear" w:color="auto" w:fill="E1DFDD"/>
    </w:rPr>
  </w:style>
  <w:style w:type="paragraph" w:styleId="NormalWeb">
    <w:name w:val="Normal (Web)"/>
    <w:basedOn w:val="Normal"/>
    <w:uiPriority w:val="99"/>
    <w:semiHidden/>
    <w:unhideWhenUsed/>
    <w:rsid w:val="00BA291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16240"/>
    <w:rPr>
      <w:color w:val="B9D181" w:themeColor="followedHyperlink"/>
      <w:u w:val="single"/>
    </w:rPr>
  </w:style>
  <w:style w:type="character" w:customStyle="1" w:styleId="Heading1Char">
    <w:name w:val="Heading 1 Char"/>
    <w:basedOn w:val="DefaultParagraphFont"/>
    <w:link w:val="Heading1"/>
    <w:uiPriority w:val="9"/>
    <w:rsid w:val="00FC2DB7"/>
    <w:rPr>
      <w:rFonts w:asciiTheme="majorHAnsi" w:eastAsiaTheme="majorEastAsia" w:hAnsiTheme="majorHAnsi" w:cstheme="majorBidi"/>
      <w:color w:val="6B911C" w:themeColor="accent1" w:themeShade="BF"/>
      <w:sz w:val="32"/>
      <w:szCs w:val="32"/>
    </w:rPr>
  </w:style>
  <w:style w:type="character" w:customStyle="1" w:styleId="Heading2Char">
    <w:name w:val="Heading 2 Char"/>
    <w:basedOn w:val="DefaultParagraphFont"/>
    <w:link w:val="Heading2"/>
    <w:uiPriority w:val="9"/>
    <w:rsid w:val="00FC2DB7"/>
    <w:rPr>
      <w:rFonts w:asciiTheme="majorHAnsi" w:eastAsiaTheme="majorEastAsia" w:hAnsiTheme="majorHAnsi" w:cstheme="majorBidi"/>
      <w:color w:val="6B911C" w:themeColor="accent1" w:themeShade="BF"/>
      <w:sz w:val="26"/>
      <w:szCs w:val="26"/>
    </w:rPr>
  </w:style>
  <w:style w:type="character" w:customStyle="1" w:styleId="Heading3Char">
    <w:name w:val="Heading 3 Char"/>
    <w:basedOn w:val="DefaultParagraphFont"/>
    <w:link w:val="Heading3"/>
    <w:uiPriority w:val="9"/>
    <w:rsid w:val="00E537FC"/>
    <w:rPr>
      <w:rFonts w:asciiTheme="majorHAnsi" w:eastAsiaTheme="majorEastAsia" w:hAnsiTheme="majorHAnsi" w:cstheme="majorBidi"/>
      <w:color w:val="47601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7940">
      <w:bodyDiv w:val="1"/>
      <w:marLeft w:val="0"/>
      <w:marRight w:val="0"/>
      <w:marTop w:val="0"/>
      <w:marBottom w:val="0"/>
      <w:divBdr>
        <w:top w:val="none" w:sz="0" w:space="0" w:color="auto"/>
        <w:left w:val="none" w:sz="0" w:space="0" w:color="auto"/>
        <w:bottom w:val="none" w:sz="0" w:space="0" w:color="auto"/>
        <w:right w:val="none" w:sz="0" w:space="0" w:color="auto"/>
      </w:divBdr>
      <w:divsChild>
        <w:div w:id="1250700094">
          <w:marLeft w:val="360"/>
          <w:marRight w:val="0"/>
          <w:marTop w:val="200"/>
          <w:marBottom w:val="0"/>
          <w:divBdr>
            <w:top w:val="none" w:sz="0" w:space="0" w:color="auto"/>
            <w:left w:val="none" w:sz="0" w:space="0" w:color="auto"/>
            <w:bottom w:val="none" w:sz="0" w:space="0" w:color="auto"/>
            <w:right w:val="none" w:sz="0" w:space="0" w:color="auto"/>
          </w:divBdr>
        </w:div>
      </w:divsChild>
    </w:div>
    <w:div w:id="3291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epa.gov/fuels-registration-reporting-and-compliance-help/lifecycle-greenhouse-gas-resul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pitol.hawaii.gov/session2022/bills/GM1317_.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climateleadership/ghg-emission-factors-hu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2.arb.ca.gov/resources/documents/lcfs-life-cycle-analysis-models-and-documentation" TargetMode="External"/><Relationship Id="rId2" Type="http://schemas.openxmlformats.org/officeDocument/2006/relationships/hyperlink" Target="https://www.epa.gov/renewable-fuel-standard-program" TargetMode="External"/><Relationship Id="rId1" Type="http://schemas.openxmlformats.org/officeDocument/2006/relationships/hyperlink" Target="https://greet.es.anl.gov/files/greet-2021-summary" TargetMode="External"/><Relationship Id="rId4" Type="http://schemas.openxmlformats.org/officeDocument/2006/relationships/hyperlink" Target="https://www.epa.gov/renewable-fuel-standard-program/lifecycle-analysis-greenhouse-gas-emissions-under-renewable-fu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327BA345-9E14-48B2-8E79-58F28EFE14C2}">
    <t:Anchor>
      <t:Comment id="655145934"/>
    </t:Anchor>
    <t:History>
      <t:Event id="{AF3D1456-568C-465C-80C6-3E052D82B1E4}" time="2022-11-02T21:05:06.815Z">
        <t:Attribution userId="S::john.w.myrdal@hawaii.gov::39f9c57c-8500-4042-b03b-663415b81fc6" userProvider="AD" userName="Myrdal, John W"/>
        <t:Anchor>
          <t:Comment id="1010016039"/>
        </t:Anchor>
        <t:Create/>
      </t:Event>
      <t:Event id="{3FBF9B59-AA83-4EC7-9F68-E8977B961103}" time="2022-11-02T21:05:06.815Z">
        <t:Attribution userId="S::john.w.myrdal@hawaii.gov::39f9c57c-8500-4042-b03b-663415b81fc6" userProvider="AD" userName="Myrdal, John W"/>
        <t:Anchor>
          <t:Comment id="1010016039"/>
        </t:Anchor>
        <t:Assign userId="S::kathy.yim@hawaii.gov::54bca268-7a67-4f76-b66b-767126eda438" userProvider="AD" userName="Yim, Kathy"/>
      </t:Event>
      <t:Event id="{E17E91CA-8D6E-4183-998D-44B360C0EAC9}" time="2022-11-02T21:05:06.815Z">
        <t:Attribution userId="S::john.w.myrdal@hawaii.gov::39f9c57c-8500-4042-b03b-663415b81fc6" userProvider="AD" userName="Myrdal, John W"/>
        <t:Anchor>
          <t:Comment id="1010016039"/>
        </t:Anchor>
        <t:SetTitle title="@Yim, Kathy sorry-a little confised- what is ALT text?&gt;"/>
      </t:Event>
    </t:History>
  </t:Task>
</t:Task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4529f4-ee7f-43ba-8099-ba18f8732ae0">
      <Terms xmlns="http://schemas.microsoft.com/office/infopath/2007/PartnerControls"/>
    </lcf76f155ced4ddcb4097134ff3c332f>
    <TaxCatchAll xmlns="4494cc7c-873d-4c80-9650-25ed479db5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9EA50F546E9F4D93657D705248D40B" ma:contentTypeVersion="14" ma:contentTypeDescription="Create a new document." ma:contentTypeScope="" ma:versionID="1b3aee697921877403ed6a7850f93003">
  <xsd:schema xmlns:xsd="http://www.w3.org/2001/XMLSchema" xmlns:xs="http://www.w3.org/2001/XMLSchema" xmlns:p="http://schemas.microsoft.com/office/2006/metadata/properties" xmlns:ns2="a04529f4-ee7f-43ba-8099-ba18f8732ae0" xmlns:ns3="ba8e7422-10da-40f4-87d4-d1903e4ca04b" xmlns:ns4="4494cc7c-873d-4c80-9650-25ed479db56e" targetNamespace="http://schemas.microsoft.com/office/2006/metadata/properties" ma:root="true" ma:fieldsID="c8028dcc7359ad36b84af514832f074b" ns2:_="" ns3:_="" ns4:_="">
    <xsd:import namespace="a04529f4-ee7f-43ba-8099-ba18f8732ae0"/>
    <xsd:import namespace="ba8e7422-10da-40f4-87d4-d1903e4ca04b"/>
    <xsd:import namespace="4494cc7c-873d-4c80-9650-25ed479db5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529f4-ee7f-43ba-8099-ba18f8732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c0b7209-8b30-4d9f-9476-6b035fe2b63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8e7422-10da-40f4-87d4-d1903e4ca0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cc7c-873d-4c80-9650-25ed479db56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f940088-a6a9-42cb-9bf7-a53df17396a5}" ma:internalName="TaxCatchAll" ma:showField="CatchAllData" ma:web="ba8e7422-10da-40f4-87d4-d1903e4ca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A8B35-6928-4218-9D28-F58C18D426DA}">
  <ds:schemaRefs>
    <ds:schemaRef ds:uri="http://schemas.openxmlformats.org/officeDocument/2006/bibliography"/>
  </ds:schemaRefs>
</ds:datastoreItem>
</file>

<file path=customXml/itemProps2.xml><?xml version="1.0" encoding="utf-8"?>
<ds:datastoreItem xmlns:ds="http://schemas.openxmlformats.org/officeDocument/2006/customXml" ds:itemID="{84027F37-0B1B-413A-AB89-34CD8FCA371C}">
  <ds:schemaRefs>
    <ds:schemaRef ds:uri="http://schemas.microsoft.com/office/2006/metadata/properties"/>
    <ds:schemaRef ds:uri="http://schemas.microsoft.com/office/infopath/2007/PartnerControls"/>
    <ds:schemaRef ds:uri="a04529f4-ee7f-43ba-8099-ba18f8732ae0"/>
    <ds:schemaRef ds:uri="4494cc7c-873d-4c80-9650-25ed479db56e"/>
  </ds:schemaRefs>
</ds:datastoreItem>
</file>

<file path=customXml/itemProps3.xml><?xml version="1.0" encoding="utf-8"?>
<ds:datastoreItem xmlns:ds="http://schemas.openxmlformats.org/officeDocument/2006/customXml" ds:itemID="{0BE688A0-D30E-4DFF-8CB6-0CBE9A5D5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529f4-ee7f-43ba-8099-ba18f8732ae0"/>
    <ds:schemaRef ds:uri="ba8e7422-10da-40f4-87d4-d1903e4ca04b"/>
    <ds:schemaRef ds:uri="4494cc7c-873d-4c80-9650-25ed479db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6786B3-315B-407E-9D27-914A010E20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1131</Words>
  <Characters>6450</Characters>
  <Application>Microsoft Office Word</Application>
  <DocSecurity>0</DocSecurity>
  <Lines>53</Lines>
  <Paragraphs>15</Paragraphs>
  <ScaleCrop>false</ScaleCrop>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Schafer, Monique M</dc:creator>
  <cp:keywords/>
  <dc:description/>
  <cp:lastModifiedBy>Myrdal, John W</cp:lastModifiedBy>
  <cp:revision>136</cp:revision>
  <dcterms:created xsi:type="dcterms:W3CDTF">2022-11-03T13:38:00Z</dcterms:created>
  <dcterms:modified xsi:type="dcterms:W3CDTF">2022-12-02T18:42:00Z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0x010100389EA50F546E9F4D93657D705248D40B</vt:lpwstr>
  </property>
  <property fmtid="{D5CDD505-2E9C-101B-9397-08002B2CF9AE}" pid="3" name="MediaServiceImageTags">
    <vt:lpwstr/>
  </property>
</Properties>
</file>